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021" w:rsidRDefault="001A1021" w:rsidP="00576FFA">
      <w:r>
        <w:t>Kanton Uri</w:t>
      </w:r>
    </w:p>
    <w:p w:rsidR="00576FFA" w:rsidRDefault="00576FFA" w:rsidP="00576FFA">
      <w:r>
        <w:t>Bildungs- und Kulturdirektion</w:t>
      </w:r>
    </w:p>
    <w:p w:rsidR="00576FFA" w:rsidRDefault="00576FFA" w:rsidP="00576FFA">
      <w:r>
        <w:t>Schulschluss 2013, wohin</w:t>
      </w:r>
      <w:r w:rsidR="009D7288">
        <w:t>?</w:t>
      </w:r>
    </w:p>
    <w:p w:rsidR="00576FFA" w:rsidRDefault="00576FFA" w:rsidP="00576FFA">
      <w:r>
        <w:t>Ergebnisse einer Umfrage der Berufs-</w:t>
      </w:r>
      <w:r w:rsidR="00F97F6B">
        <w:t>,</w:t>
      </w:r>
      <w:r>
        <w:t xml:space="preserve"> Studien</w:t>
      </w:r>
      <w:r w:rsidR="00F97F6B">
        <w:t>-</w:t>
      </w:r>
      <w:r>
        <w:t xml:space="preserve"> und Laufbahnberatung</w:t>
      </w:r>
    </w:p>
    <w:p w:rsidR="00576FFA" w:rsidRDefault="00576FFA" w:rsidP="00576FFA">
      <w:r>
        <w:t>Altdorf, Juli 2013</w:t>
      </w:r>
    </w:p>
    <w:p w:rsidR="00576FFA" w:rsidRDefault="00576FFA" w:rsidP="00576FFA">
      <w:r>
        <w:br w:type="page"/>
      </w:r>
    </w:p>
    <w:p w:rsidR="00890327" w:rsidRPr="00845680" w:rsidRDefault="00890327" w:rsidP="004250F2">
      <w:pPr>
        <w:rPr>
          <w:caps/>
          <w:color w:val="FF0000"/>
        </w:rPr>
      </w:pPr>
      <w:r w:rsidRPr="00845680">
        <w:rPr>
          <w:caps/>
          <w:color w:val="FF0000"/>
        </w:rPr>
        <w:lastRenderedPageBreak/>
        <w:t>Die wichtigsten Ergebnisse der Umfrage in Kürze</w:t>
      </w:r>
    </w:p>
    <w:p w:rsidR="00890327" w:rsidRDefault="00890327" w:rsidP="00EE40D4">
      <w:pPr>
        <w:pStyle w:val="Listenabsatz"/>
        <w:numPr>
          <w:ilvl w:val="0"/>
          <w:numId w:val="1"/>
        </w:numPr>
        <w:ind w:left="714" w:hanging="357"/>
        <w:contextualSpacing w:val="0"/>
      </w:pPr>
      <w:r>
        <w:t>Nach 2010 schafften zum 2. Mal mehr als 90% der Urner Jugendlichen den nahtlosen Übe</w:t>
      </w:r>
      <w:r>
        <w:t>r</w:t>
      </w:r>
      <w:r>
        <w:t>gang von der Sekundarstufe I (obligatorische Schulzeit) in die Sekundarstufe II (Berufsbildung oder weiterführende Schulen wie Fachmittelschule oder Gymnasium). Die hervorragenden Resultate der letzten Jahre wurden somit noch übertroffen.</w:t>
      </w:r>
    </w:p>
    <w:p w:rsidR="00890327" w:rsidRDefault="00890327" w:rsidP="00EE40D4">
      <w:pPr>
        <w:pStyle w:val="Listenabsatz"/>
        <w:numPr>
          <w:ilvl w:val="0"/>
          <w:numId w:val="1"/>
        </w:numPr>
        <w:ind w:left="714" w:hanging="357"/>
        <w:contextualSpacing w:val="0"/>
      </w:pPr>
      <w:r>
        <w:t>Die Situation auf dem Lehrstellenmarkt ist sehr erfreulich. 74% aller jungen Urner/innen ste</w:t>
      </w:r>
      <w:r>
        <w:t>i</w:t>
      </w:r>
      <w:r>
        <w:t>gen direkt nach der obligatorischen Schulzeit in die berufliche Grundbildung ein.</w:t>
      </w:r>
    </w:p>
    <w:p w:rsidR="00890327" w:rsidRDefault="00890327" w:rsidP="00EE40D4">
      <w:pPr>
        <w:pStyle w:val="Listenabsatz"/>
        <w:numPr>
          <w:ilvl w:val="0"/>
          <w:numId w:val="1"/>
        </w:numPr>
        <w:ind w:left="714" w:hanging="357"/>
        <w:contextualSpacing w:val="0"/>
      </w:pPr>
      <w:r>
        <w:t xml:space="preserve">Bei den weiterführenden Schulen gab es </w:t>
      </w:r>
      <w:r w:rsidR="00C81F4F">
        <w:t>2013</w:t>
      </w:r>
      <w:r>
        <w:t xml:space="preserve"> einen markanten Rückgang, insbesondere bei den männlichen Jugendlichen. Zugenommen hat die Nachfrage bei der Fachmittelschule (FMS Ingenbohl).</w:t>
      </w:r>
    </w:p>
    <w:p w:rsidR="00890327" w:rsidRDefault="00890327" w:rsidP="00EE40D4">
      <w:pPr>
        <w:pStyle w:val="Listenabsatz"/>
        <w:numPr>
          <w:ilvl w:val="0"/>
          <w:numId w:val="1"/>
        </w:numPr>
        <w:ind w:left="714" w:hanging="357"/>
        <w:contextualSpacing w:val="0"/>
      </w:pPr>
      <w:r>
        <w:t>Die Situation bei den Schulabgängerinnen hat sich markant verbessert. Innert weniger Jahre hat sich die Zahl der Zwischenlösungen halbiert. Dies ist u.a. auch darauf zurückzuführen, dass sich die jungen Frauen immer häufiger für handwerkliche oder technische Berufe en</w:t>
      </w:r>
      <w:r>
        <w:t>t</w:t>
      </w:r>
      <w:r>
        <w:t>scheiden.</w:t>
      </w:r>
    </w:p>
    <w:p w:rsidR="00890327" w:rsidRDefault="00890327" w:rsidP="00EE40D4">
      <w:pPr>
        <w:pStyle w:val="Listenabsatz"/>
        <w:numPr>
          <w:ilvl w:val="0"/>
          <w:numId w:val="1"/>
        </w:numPr>
        <w:ind w:left="714" w:hanging="357"/>
        <w:contextualSpacing w:val="0"/>
      </w:pPr>
      <w:r>
        <w:t>Nach wie vor sehr einseitig verläuft die Berufswahl bei den jungen Männern. Nur sehr wenige ziehen einen sozialen Beruf oder eine Ausbildung im Detailhandel auch nur in Betracht.</w:t>
      </w:r>
    </w:p>
    <w:p w:rsidR="00890327" w:rsidRDefault="00890327" w:rsidP="00EE40D4">
      <w:pPr>
        <w:pStyle w:val="Listenabsatz"/>
        <w:numPr>
          <w:ilvl w:val="0"/>
          <w:numId w:val="1"/>
        </w:numPr>
        <w:ind w:left="714" w:hanging="357"/>
        <w:contextualSpacing w:val="0"/>
      </w:pPr>
      <w:r>
        <w:t>Aus einem Angebot von theoretisch etwa 125 möglichen Lehrberufen (im Kanton Uri) wu</w:t>
      </w:r>
      <w:r>
        <w:t>r</w:t>
      </w:r>
      <w:r>
        <w:t>den 77 verschiedene Berufe gewählt.</w:t>
      </w:r>
    </w:p>
    <w:p w:rsidR="00890327" w:rsidRDefault="00C81F4F" w:rsidP="00EE40D4">
      <w:pPr>
        <w:pStyle w:val="Listenabsatz"/>
        <w:numPr>
          <w:ilvl w:val="0"/>
          <w:numId w:val="1"/>
        </w:numPr>
        <w:ind w:left="714" w:hanging="357"/>
        <w:contextualSpacing w:val="0"/>
      </w:pPr>
      <w:r>
        <w:t>2013</w:t>
      </w:r>
      <w:r w:rsidR="00890327">
        <w:t xml:space="preserve"> konnte der Trend zu immer früheren Lehrstellenvergaben gebremst werden. Der Anteil der Zusagen vor Oktober ging von 31% auf 27% zurück. Diverse Aufrufe an die Beteiligten scheinen Wirkung zu zeigen.</w:t>
      </w:r>
    </w:p>
    <w:p w:rsidR="00890327" w:rsidRDefault="00890327" w:rsidP="00EE40D4">
      <w:pPr>
        <w:pStyle w:val="Listenabsatz"/>
        <w:numPr>
          <w:ilvl w:val="0"/>
          <w:numId w:val="1"/>
        </w:numPr>
        <w:ind w:left="714" w:hanging="357"/>
        <w:contextualSpacing w:val="0"/>
      </w:pPr>
      <w:r>
        <w:t>Die Bereitschaft, ausserhalb des Kantons Uri eine Lehrstelle zu suchen, hat in den letzten Ja</w:t>
      </w:r>
      <w:r>
        <w:t>h</w:t>
      </w:r>
      <w:r>
        <w:t xml:space="preserve">ren markant abgenommen. </w:t>
      </w:r>
      <w:r w:rsidR="00C81F4F">
        <w:t>2013</w:t>
      </w:r>
      <w:r>
        <w:t xml:space="preserve"> ist der Anteil der Jugendlichen, die ausserhalb eine Lehre antreten werden, erstmals wieder gestiegen.</w:t>
      </w:r>
    </w:p>
    <w:p w:rsidR="00890327" w:rsidRDefault="00890327" w:rsidP="00890327"/>
    <w:p w:rsidR="006427CB" w:rsidRDefault="006427CB">
      <w:pPr>
        <w:spacing w:after="200"/>
        <w:rPr>
          <w:color w:val="FF0000"/>
        </w:rPr>
      </w:pPr>
      <w:r>
        <w:rPr>
          <w:color w:val="FF0000"/>
        </w:rPr>
        <w:br w:type="page"/>
      </w:r>
    </w:p>
    <w:p w:rsidR="00890327" w:rsidRPr="00845680" w:rsidRDefault="00890327" w:rsidP="00890327">
      <w:pPr>
        <w:rPr>
          <w:caps/>
          <w:color w:val="FF0000"/>
        </w:rPr>
      </w:pPr>
      <w:r w:rsidRPr="00845680">
        <w:rPr>
          <w:caps/>
          <w:color w:val="FF0000"/>
        </w:rPr>
        <w:lastRenderedPageBreak/>
        <w:t>Laufbahnwege</w:t>
      </w:r>
    </w:p>
    <w:p w:rsidR="001E2016" w:rsidRPr="00845680" w:rsidRDefault="001E2016" w:rsidP="001E2016">
      <w:pPr>
        <w:rPr>
          <w:i/>
          <w:color w:val="00B050"/>
        </w:rPr>
      </w:pPr>
      <w:r w:rsidRPr="00845680">
        <w:rPr>
          <w:i/>
          <w:color w:val="00B050"/>
        </w:rPr>
        <w:t>Allgemein</w:t>
      </w:r>
    </w:p>
    <w:p w:rsidR="00890327" w:rsidRDefault="00890327" w:rsidP="00890327">
      <w:r>
        <w:t>Was planen die Urner Oberstufenschüler/innen nach der obligatorischen Schulzeit bzw. nach der Berufsvorbereitungsschule BVS und dem kombinierten Brückenangebot KBA?</w:t>
      </w:r>
    </w:p>
    <w:p w:rsidR="00751605" w:rsidRDefault="00890327" w:rsidP="00890327">
      <w:r>
        <w:t xml:space="preserve">Zur Auswahl standen folgende Optionen: Berufliche Grundbildung (Berufslehre, </w:t>
      </w:r>
      <w:proofErr w:type="spellStart"/>
      <w:r>
        <w:t>Attestbildung</w:t>
      </w:r>
      <w:proofErr w:type="spellEnd"/>
      <w:r>
        <w:t xml:space="preserve">, </w:t>
      </w:r>
      <w:proofErr w:type="spellStart"/>
      <w:r>
        <w:t>Anle</w:t>
      </w:r>
      <w:r>
        <w:t>h</w:t>
      </w:r>
      <w:r>
        <w:t>re</w:t>
      </w:r>
      <w:proofErr w:type="spellEnd"/>
      <w:r>
        <w:t xml:space="preserve"> oder vergleichbare Ausbildung), Weiterführende Schule (Gymnasium, Fachmittelschule etc.), Br</w:t>
      </w:r>
      <w:r>
        <w:t>ü</w:t>
      </w:r>
      <w:r>
        <w:t>ckenangebot/Zwischenlösung (Berufsvorbereitungsschule, kombiniertes Brückenangebot, Praktikum, Sprachaufenthalt etc.), Noch nicht entschieden und Arbeit ohne weitere Ausbildung.</w:t>
      </w:r>
    </w:p>
    <w:p w:rsidR="00890327" w:rsidRDefault="00890327" w:rsidP="00890327"/>
    <w:p w:rsidR="00890327" w:rsidRPr="00845680" w:rsidRDefault="005B3021" w:rsidP="00890327">
      <w:pPr>
        <w:rPr>
          <w:i/>
          <w:color w:val="00B050"/>
        </w:rPr>
      </w:pPr>
      <w:r>
        <w:rPr>
          <w:i/>
          <w:color w:val="00B050"/>
        </w:rPr>
        <w:t>Laufbahnwege a</w:t>
      </w:r>
      <w:r w:rsidR="00890327" w:rsidRPr="00845680">
        <w:rPr>
          <w:i/>
          <w:color w:val="00B050"/>
        </w:rPr>
        <w:t>lle</w:t>
      </w:r>
      <w:r>
        <w:rPr>
          <w:i/>
          <w:color w:val="00B050"/>
        </w:rPr>
        <w:t>r</w:t>
      </w:r>
      <w:r w:rsidR="00890327" w:rsidRPr="00845680">
        <w:rPr>
          <w:i/>
          <w:color w:val="00B050"/>
        </w:rPr>
        <w:t xml:space="preserve"> Befragten</w:t>
      </w:r>
    </w:p>
    <w:p w:rsidR="00890327" w:rsidRPr="00946E8C" w:rsidRDefault="00890327" w:rsidP="00946E8C">
      <w:pPr>
        <w:pStyle w:val="Tabellenzeilen"/>
      </w:pPr>
      <w:r w:rsidRPr="00946E8C">
        <w:t>Nachhaltige Lösung</w:t>
      </w:r>
      <w:r w:rsidRPr="00946E8C">
        <w:tab/>
        <w:t>416</w:t>
      </w:r>
      <w:r w:rsidRPr="00946E8C">
        <w:tab/>
        <w:t>91.0%</w:t>
      </w:r>
    </w:p>
    <w:p w:rsidR="00890327" w:rsidRPr="00946E8C" w:rsidRDefault="00890327" w:rsidP="00946E8C">
      <w:pPr>
        <w:pStyle w:val="Tabellenzeilen"/>
      </w:pPr>
      <w:r w:rsidRPr="00946E8C">
        <w:t>Berufliche Grundbildung</w:t>
      </w:r>
      <w:r w:rsidRPr="00946E8C">
        <w:tab/>
        <w:t>339</w:t>
      </w:r>
      <w:r w:rsidRPr="00946E8C">
        <w:tab/>
        <w:t>74.2%</w:t>
      </w:r>
      <w:bookmarkStart w:id="0" w:name="_GoBack"/>
      <w:bookmarkEnd w:id="0"/>
    </w:p>
    <w:p w:rsidR="00890327" w:rsidRPr="00946E8C" w:rsidRDefault="00890327" w:rsidP="00946E8C">
      <w:pPr>
        <w:pStyle w:val="Tabellenzeilen"/>
      </w:pPr>
      <w:r w:rsidRPr="00946E8C">
        <w:t>Weiterführende Schule</w:t>
      </w:r>
      <w:r w:rsidRPr="00946E8C">
        <w:tab/>
        <w:t>77</w:t>
      </w:r>
      <w:r w:rsidRPr="00946E8C">
        <w:tab/>
        <w:t>16.8%</w:t>
      </w:r>
    </w:p>
    <w:p w:rsidR="00890327" w:rsidRPr="00946E8C" w:rsidRDefault="00890327" w:rsidP="00946E8C">
      <w:pPr>
        <w:pStyle w:val="Tabellenzeilen"/>
      </w:pPr>
      <w:r w:rsidRPr="00946E8C">
        <w:t>(Noch) keine nachhaltige Lösung</w:t>
      </w:r>
      <w:r w:rsidRPr="00946E8C">
        <w:tab/>
        <w:t>41</w:t>
      </w:r>
      <w:r w:rsidRPr="00946E8C">
        <w:tab/>
        <w:t>9.0%</w:t>
      </w:r>
    </w:p>
    <w:p w:rsidR="00890327" w:rsidRPr="00946E8C" w:rsidRDefault="00890327" w:rsidP="00946E8C">
      <w:pPr>
        <w:pStyle w:val="Tabellenzeilen"/>
      </w:pPr>
      <w:r w:rsidRPr="00946E8C">
        <w:t>Brückenangebot/Zwischenlösung</w:t>
      </w:r>
      <w:r w:rsidRPr="00946E8C">
        <w:tab/>
        <w:t>38</w:t>
      </w:r>
      <w:r w:rsidRPr="00946E8C">
        <w:tab/>
        <w:t>8.3%</w:t>
      </w:r>
    </w:p>
    <w:p w:rsidR="00890327" w:rsidRPr="00946E8C" w:rsidRDefault="00890327" w:rsidP="00946E8C">
      <w:pPr>
        <w:pStyle w:val="Tabellenzeilen"/>
      </w:pPr>
      <w:r w:rsidRPr="00946E8C">
        <w:t>Noch nicht entschieden</w:t>
      </w:r>
      <w:r w:rsidRPr="00946E8C">
        <w:tab/>
        <w:t>3</w:t>
      </w:r>
      <w:r w:rsidRPr="00946E8C">
        <w:tab/>
        <w:t>0.7%</w:t>
      </w:r>
    </w:p>
    <w:p w:rsidR="00890327" w:rsidRPr="00946E8C" w:rsidRDefault="00890327" w:rsidP="00946E8C">
      <w:pPr>
        <w:pStyle w:val="Tabellenzeilen"/>
      </w:pPr>
      <w:r w:rsidRPr="00946E8C">
        <w:t>Arbeit</w:t>
      </w:r>
      <w:r w:rsidRPr="00946E8C">
        <w:tab/>
        <w:t>0</w:t>
      </w:r>
      <w:r w:rsidRPr="00946E8C">
        <w:tab/>
        <w:t>0.0%</w:t>
      </w:r>
    </w:p>
    <w:p w:rsidR="00890327" w:rsidRPr="00946E8C" w:rsidRDefault="00890327" w:rsidP="00946E8C">
      <w:pPr>
        <w:pStyle w:val="Tabellenzeilen"/>
      </w:pPr>
      <w:r w:rsidRPr="00946E8C">
        <w:t>Total (alle Befragten)</w:t>
      </w:r>
      <w:r w:rsidRPr="00946E8C">
        <w:tab/>
        <w:t>457</w:t>
      </w:r>
      <w:r w:rsidRPr="00946E8C">
        <w:tab/>
        <w:t>100.0%</w:t>
      </w:r>
    </w:p>
    <w:p w:rsidR="00890327" w:rsidRDefault="00890327" w:rsidP="00890327"/>
    <w:p w:rsidR="006427CB" w:rsidRDefault="006427CB">
      <w:pPr>
        <w:spacing w:after="200"/>
        <w:rPr>
          <w:color w:val="00B050"/>
        </w:rPr>
      </w:pPr>
      <w:r>
        <w:rPr>
          <w:color w:val="00B050"/>
        </w:rPr>
        <w:br w:type="page"/>
      </w:r>
    </w:p>
    <w:p w:rsidR="00890327" w:rsidRPr="00845680" w:rsidRDefault="00890327" w:rsidP="00890327">
      <w:pPr>
        <w:rPr>
          <w:i/>
          <w:color w:val="00B050"/>
        </w:rPr>
      </w:pPr>
      <w:r w:rsidRPr="00845680">
        <w:rPr>
          <w:i/>
          <w:color w:val="00B050"/>
        </w:rPr>
        <w:lastRenderedPageBreak/>
        <w:t>Laufbahnwege junger Männer</w:t>
      </w:r>
    </w:p>
    <w:tbl>
      <w:tblPr>
        <w:tblStyle w:val="Tabellenraster"/>
        <w:tblW w:w="0" w:type="auto"/>
        <w:tblLook w:val="04A0" w:firstRow="1" w:lastRow="0" w:firstColumn="1" w:lastColumn="0" w:noHBand="0" w:noVBand="1"/>
      </w:tblPr>
      <w:tblGrid>
        <w:gridCol w:w="3752"/>
        <w:gridCol w:w="2739"/>
        <w:gridCol w:w="2795"/>
      </w:tblGrid>
      <w:tr w:rsidR="00890327" w:rsidRPr="00890327" w:rsidTr="00C93804">
        <w:tc>
          <w:tcPr>
            <w:tcW w:w="3752" w:type="dxa"/>
          </w:tcPr>
          <w:p w:rsidR="00890327" w:rsidRPr="00890327" w:rsidRDefault="00890327" w:rsidP="00946E8C">
            <w:pPr>
              <w:pStyle w:val="Tabellenzeilen"/>
            </w:pPr>
            <w:r w:rsidRPr="00890327">
              <w:t>Nachhaltige Lösung</w:t>
            </w:r>
          </w:p>
        </w:tc>
        <w:tc>
          <w:tcPr>
            <w:tcW w:w="2740" w:type="dxa"/>
          </w:tcPr>
          <w:p w:rsidR="00890327" w:rsidRPr="00890327" w:rsidRDefault="00890327" w:rsidP="00946E8C">
            <w:pPr>
              <w:pStyle w:val="Tabellenzeilen"/>
            </w:pPr>
            <w:r w:rsidRPr="00890327">
              <w:t>211</w:t>
            </w:r>
          </w:p>
        </w:tc>
        <w:tc>
          <w:tcPr>
            <w:tcW w:w="2796" w:type="dxa"/>
          </w:tcPr>
          <w:p w:rsidR="00890327" w:rsidRPr="00890327" w:rsidRDefault="00890327" w:rsidP="00946E8C">
            <w:pPr>
              <w:pStyle w:val="Tabellenzeilen"/>
            </w:pPr>
            <w:r w:rsidRPr="00890327">
              <w:t>93.4%</w:t>
            </w:r>
          </w:p>
        </w:tc>
      </w:tr>
      <w:tr w:rsidR="00890327" w:rsidRPr="00890327" w:rsidTr="00C93804">
        <w:tc>
          <w:tcPr>
            <w:tcW w:w="3752" w:type="dxa"/>
          </w:tcPr>
          <w:p w:rsidR="00890327" w:rsidRPr="00890327" w:rsidRDefault="00890327" w:rsidP="00946E8C">
            <w:pPr>
              <w:pStyle w:val="Tabellenzeilen"/>
            </w:pPr>
            <w:r w:rsidRPr="00890327">
              <w:t>Berufliche Grundbildung</w:t>
            </w:r>
          </w:p>
        </w:tc>
        <w:tc>
          <w:tcPr>
            <w:tcW w:w="2740" w:type="dxa"/>
          </w:tcPr>
          <w:p w:rsidR="00890327" w:rsidRPr="00890327" w:rsidRDefault="00890327" w:rsidP="00946E8C">
            <w:pPr>
              <w:pStyle w:val="Tabellenzeilen"/>
            </w:pPr>
            <w:r w:rsidRPr="00890327">
              <w:t>186</w:t>
            </w:r>
          </w:p>
        </w:tc>
        <w:tc>
          <w:tcPr>
            <w:tcW w:w="2796" w:type="dxa"/>
          </w:tcPr>
          <w:p w:rsidR="00890327" w:rsidRPr="00890327" w:rsidRDefault="00890327" w:rsidP="00946E8C">
            <w:pPr>
              <w:pStyle w:val="Tabellenzeilen"/>
            </w:pPr>
            <w:r w:rsidRPr="00890327">
              <w:t>82.3%</w:t>
            </w:r>
          </w:p>
        </w:tc>
      </w:tr>
      <w:tr w:rsidR="00890327" w:rsidRPr="00890327" w:rsidTr="00C93804">
        <w:tc>
          <w:tcPr>
            <w:tcW w:w="3752" w:type="dxa"/>
          </w:tcPr>
          <w:p w:rsidR="00890327" w:rsidRPr="00890327" w:rsidRDefault="00890327" w:rsidP="00946E8C">
            <w:pPr>
              <w:pStyle w:val="Tabellenzeilen"/>
            </w:pPr>
            <w:r w:rsidRPr="00890327">
              <w:t>Weiterführende Schule</w:t>
            </w:r>
          </w:p>
        </w:tc>
        <w:tc>
          <w:tcPr>
            <w:tcW w:w="2740" w:type="dxa"/>
          </w:tcPr>
          <w:p w:rsidR="00890327" w:rsidRPr="00890327" w:rsidRDefault="00890327" w:rsidP="00946E8C">
            <w:pPr>
              <w:pStyle w:val="Tabellenzeilen"/>
            </w:pPr>
            <w:r w:rsidRPr="00890327">
              <w:t>25</w:t>
            </w:r>
          </w:p>
        </w:tc>
        <w:tc>
          <w:tcPr>
            <w:tcW w:w="2796" w:type="dxa"/>
          </w:tcPr>
          <w:p w:rsidR="00890327" w:rsidRPr="00890327" w:rsidRDefault="00890327" w:rsidP="00946E8C">
            <w:pPr>
              <w:pStyle w:val="Tabellenzeilen"/>
            </w:pPr>
            <w:r w:rsidRPr="00890327">
              <w:t>11.1%</w:t>
            </w:r>
          </w:p>
        </w:tc>
      </w:tr>
      <w:tr w:rsidR="00890327" w:rsidRPr="00890327" w:rsidTr="00C93804">
        <w:tc>
          <w:tcPr>
            <w:tcW w:w="3752" w:type="dxa"/>
          </w:tcPr>
          <w:p w:rsidR="00890327" w:rsidRPr="00890327" w:rsidRDefault="00890327" w:rsidP="00946E8C">
            <w:pPr>
              <w:pStyle w:val="Tabellenzeilen"/>
            </w:pPr>
            <w:r w:rsidRPr="00890327">
              <w:t>(Noch) keine nachhaltige Lösung</w:t>
            </w:r>
          </w:p>
        </w:tc>
        <w:tc>
          <w:tcPr>
            <w:tcW w:w="2740" w:type="dxa"/>
          </w:tcPr>
          <w:p w:rsidR="00890327" w:rsidRPr="00890327" w:rsidRDefault="00890327" w:rsidP="00946E8C">
            <w:pPr>
              <w:pStyle w:val="Tabellenzeilen"/>
            </w:pPr>
            <w:r w:rsidRPr="00890327">
              <w:t>15</w:t>
            </w:r>
          </w:p>
        </w:tc>
        <w:tc>
          <w:tcPr>
            <w:tcW w:w="2796" w:type="dxa"/>
          </w:tcPr>
          <w:p w:rsidR="00890327" w:rsidRPr="00890327" w:rsidRDefault="00890327" w:rsidP="00946E8C">
            <w:pPr>
              <w:pStyle w:val="Tabellenzeilen"/>
            </w:pPr>
            <w:r w:rsidRPr="00890327">
              <w:t>6.6%</w:t>
            </w:r>
          </w:p>
        </w:tc>
      </w:tr>
      <w:tr w:rsidR="00890327" w:rsidRPr="00890327" w:rsidTr="00C93804">
        <w:tc>
          <w:tcPr>
            <w:tcW w:w="3752" w:type="dxa"/>
          </w:tcPr>
          <w:p w:rsidR="00890327" w:rsidRPr="00890327" w:rsidRDefault="00890327" w:rsidP="00946E8C">
            <w:pPr>
              <w:pStyle w:val="Tabellenzeilen"/>
            </w:pPr>
            <w:r w:rsidRPr="00890327">
              <w:t>Brückenangebot/Zwischenlösung</w:t>
            </w:r>
          </w:p>
        </w:tc>
        <w:tc>
          <w:tcPr>
            <w:tcW w:w="2740" w:type="dxa"/>
          </w:tcPr>
          <w:p w:rsidR="00890327" w:rsidRPr="00890327" w:rsidRDefault="00890327" w:rsidP="00946E8C">
            <w:pPr>
              <w:pStyle w:val="Tabellenzeilen"/>
            </w:pPr>
            <w:r w:rsidRPr="00890327">
              <w:t>13</w:t>
            </w:r>
          </w:p>
        </w:tc>
        <w:tc>
          <w:tcPr>
            <w:tcW w:w="2796" w:type="dxa"/>
          </w:tcPr>
          <w:p w:rsidR="00890327" w:rsidRPr="00890327" w:rsidRDefault="00890327" w:rsidP="00946E8C">
            <w:pPr>
              <w:pStyle w:val="Tabellenzeilen"/>
            </w:pPr>
            <w:r w:rsidRPr="00890327">
              <w:t>5.8%</w:t>
            </w:r>
          </w:p>
        </w:tc>
      </w:tr>
      <w:tr w:rsidR="00890327" w:rsidRPr="00890327" w:rsidTr="00C93804">
        <w:tc>
          <w:tcPr>
            <w:tcW w:w="3752" w:type="dxa"/>
          </w:tcPr>
          <w:p w:rsidR="00890327" w:rsidRPr="00890327" w:rsidRDefault="00890327" w:rsidP="00946E8C">
            <w:pPr>
              <w:pStyle w:val="Tabellenzeilen"/>
            </w:pPr>
            <w:r w:rsidRPr="00890327">
              <w:t>Noch nicht entschieden</w:t>
            </w:r>
          </w:p>
        </w:tc>
        <w:tc>
          <w:tcPr>
            <w:tcW w:w="2740" w:type="dxa"/>
          </w:tcPr>
          <w:p w:rsidR="00890327" w:rsidRPr="00890327" w:rsidRDefault="00890327" w:rsidP="00946E8C">
            <w:pPr>
              <w:pStyle w:val="Tabellenzeilen"/>
            </w:pPr>
            <w:r w:rsidRPr="00890327">
              <w:t>2</w:t>
            </w:r>
          </w:p>
        </w:tc>
        <w:tc>
          <w:tcPr>
            <w:tcW w:w="2796" w:type="dxa"/>
          </w:tcPr>
          <w:p w:rsidR="00890327" w:rsidRPr="00890327" w:rsidRDefault="00890327" w:rsidP="00946E8C">
            <w:pPr>
              <w:pStyle w:val="Tabellenzeilen"/>
            </w:pPr>
            <w:r w:rsidRPr="00890327">
              <w:t>0.9%</w:t>
            </w:r>
          </w:p>
        </w:tc>
      </w:tr>
      <w:tr w:rsidR="00890327" w:rsidRPr="00890327" w:rsidTr="00C93804">
        <w:tc>
          <w:tcPr>
            <w:tcW w:w="3752" w:type="dxa"/>
          </w:tcPr>
          <w:p w:rsidR="00890327" w:rsidRPr="00890327" w:rsidRDefault="00890327" w:rsidP="00946E8C">
            <w:pPr>
              <w:pStyle w:val="Tabellenzeilen"/>
            </w:pPr>
            <w:r w:rsidRPr="00890327">
              <w:t>Arbeit</w:t>
            </w:r>
          </w:p>
        </w:tc>
        <w:tc>
          <w:tcPr>
            <w:tcW w:w="2740" w:type="dxa"/>
          </w:tcPr>
          <w:p w:rsidR="00890327" w:rsidRPr="00890327" w:rsidRDefault="00890327" w:rsidP="00946E8C">
            <w:pPr>
              <w:pStyle w:val="Tabellenzeilen"/>
            </w:pPr>
            <w:r w:rsidRPr="00890327">
              <w:t>0</w:t>
            </w:r>
          </w:p>
        </w:tc>
        <w:tc>
          <w:tcPr>
            <w:tcW w:w="2796" w:type="dxa"/>
          </w:tcPr>
          <w:p w:rsidR="00890327" w:rsidRPr="00890327" w:rsidRDefault="00890327" w:rsidP="00946E8C">
            <w:pPr>
              <w:pStyle w:val="Tabellenzeilen"/>
            </w:pPr>
            <w:r w:rsidRPr="00890327">
              <w:t>0.0%</w:t>
            </w:r>
          </w:p>
        </w:tc>
      </w:tr>
      <w:tr w:rsidR="00890327" w:rsidRPr="00890327" w:rsidTr="00C93804">
        <w:tc>
          <w:tcPr>
            <w:tcW w:w="3752" w:type="dxa"/>
          </w:tcPr>
          <w:p w:rsidR="00890327" w:rsidRPr="00890327" w:rsidRDefault="00890327" w:rsidP="00946E8C">
            <w:pPr>
              <w:pStyle w:val="Tabellenzeilen"/>
            </w:pPr>
            <w:r w:rsidRPr="00890327">
              <w:t>Total Schulabgänger</w:t>
            </w:r>
          </w:p>
        </w:tc>
        <w:tc>
          <w:tcPr>
            <w:tcW w:w="2740" w:type="dxa"/>
          </w:tcPr>
          <w:p w:rsidR="00890327" w:rsidRPr="00890327" w:rsidRDefault="00890327" w:rsidP="00946E8C">
            <w:pPr>
              <w:pStyle w:val="Tabellenzeilen"/>
            </w:pPr>
            <w:r w:rsidRPr="00890327">
              <w:t>226</w:t>
            </w:r>
          </w:p>
        </w:tc>
        <w:tc>
          <w:tcPr>
            <w:tcW w:w="2796" w:type="dxa"/>
          </w:tcPr>
          <w:p w:rsidR="00890327" w:rsidRPr="00890327" w:rsidRDefault="00890327" w:rsidP="00946E8C">
            <w:pPr>
              <w:pStyle w:val="Tabellenzeilen"/>
            </w:pPr>
            <w:r w:rsidRPr="00890327">
              <w:t>100.0%</w:t>
            </w:r>
          </w:p>
        </w:tc>
      </w:tr>
    </w:tbl>
    <w:p w:rsidR="00890327" w:rsidRDefault="00890327" w:rsidP="00890327"/>
    <w:p w:rsidR="00890327" w:rsidRPr="00845680" w:rsidRDefault="00890327" w:rsidP="00890327">
      <w:pPr>
        <w:rPr>
          <w:i/>
          <w:color w:val="00B050"/>
        </w:rPr>
      </w:pPr>
      <w:r w:rsidRPr="00845680">
        <w:rPr>
          <w:i/>
          <w:color w:val="00B050"/>
        </w:rPr>
        <w:t>Laufbahnwege junger Frauen</w:t>
      </w:r>
    </w:p>
    <w:tbl>
      <w:tblPr>
        <w:tblStyle w:val="Tabellenraster"/>
        <w:tblW w:w="0" w:type="auto"/>
        <w:tblLook w:val="04A0" w:firstRow="1" w:lastRow="0" w:firstColumn="1" w:lastColumn="0" w:noHBand="0" w:noVBand="1"/>
      </w:tblPr>
      <w:tblGrid>
        <w:gridCol w:w="3189"/>
        <w:gridCol w:w="3047"/>
        <w:gridCol w:w="3050"/>
      </w:tblGrid>
      <w:tr w:rsidR="00890327" w:rsidRPr="00890327" w:rsidTr="00890327">
        <w:tc>
          <w:tcPr>
            <w:tcW w:w="3070" w:type="dxa"/>
          </w:tcPr>
          <w:p w:rsidR="00890327" w:rsidRPr="00890327" w:rsidRDefault="00890327" w:rsidP="00946E8C">
            <w:pPr>
              <w:pStyle w:val="Tabellenzeilen"/>
            </w:pPr>
            <w:r w:rsidRPr="00890327">
              <w:t>Nachhaltige Lösung</w:t>
            </w:r>
          </w:p>
        </w:tc>
        <w:tc>
          <w:tcPr>
            <w:tcW w:w="3071" w:type="dxa"/>
          </w:tcPr>
          <w:p w:rsidR="00890327" w:rsidRPr="00890327" w:rsidRDefault="00890327" w:rsidP="00946E8C">
            <w:pPr>
              <w:pStyle w:val="Tabellenzeilen"/>
            </w:pPr>
            <w:r w:rsidRPr="00890327">
              <w:t>205</w:t>
            </w:r>
          </w:p>
        </w:tc>
        <w:tc>
          <w:tcPr>
            <w:tcW w:w="3071" w:type="dxa"/>
          </w:tcPr>
          <w:p w:rsidR="00890327" w:rsidRPr="00890327" w:rsidRDefault="00890327" w:rsidP="00946E8C">
            <w:pPr>
              <w:pStyle w:val="Tabellenzeilen"/>
            </w:pPr>
            <w:r w:rsidRPr="00890327">
              <w:t>88.7%</w:t>
            </w:r>
          </w:p>
        </w:tc>
      </w:tr>
      <w:tr w:rsidR="00890327" w:rsidRPr="00890327" w:rsidTr="00890327">
        <w:tc>
          <w:tcPr>
            <w:tcW w:w="3070" w:type="dxa"/>
          </w:tcPr>
          <w:p w:rsidR="00890327" w:rsidRPr="00890327" w:rsidRDefault="00890327" w:rsidP="00946E8C">
            <w:pPr>
              <w:pStyle w:val="Tabellenzeilen"/>
            </w:pPr>
            <w:r w:rsidRPr="00890327">
              <w:t>Berufliche Grundbildung</w:t>
            </w:r>
          </w:p>
        </w:tc>
        <w:tc>
          <w:tcPr>
            <w:tcW w:w="3071" w:type="dxa"/>
          </w:tcPr>
          <w:p w:rsidR="00890327" w:rsidRPr="00890327" w:rsidRDefault="00890327" w:rsidP="00946E8C">
            <w:pPr>
              <w:pStyle w:val="Tabellenzeilen"/>
            </w:pPr>
            <w:r w:rsidRPr="00890327">
              <w:t>153</w:t>
            </w:r>
          </w:p>
        </w:tc>
        <w:tc>
          <w:tcPr>
            <w:tcW w:w="3071" w:type="dxa"/>
          </w:tcPr>
          <w:p w:rsidR="00890327" w:rsidRPr="00890327" w:rsidRDefault="00890327" w:rsidP="00946E8C">
            <w:pPr>
              <w:pStyle w:val="Tabellenzeilen"/>
            </w:pPr>
            <w:r w:rsidRPr="00890327">
              <w:t>66.2%</w:t>
            </w:r>
          </w:p>
        </w:tc>
      </w:tr>
      <w:tr w:rsidR="00890327" w:rsidRPr="00890327" w:rsidTr="00890327">
        <w:tc>
          <w:tcPr>
            <w:tcW w:w="3070" w:type="dxa"/>
          </w:tcPr>
          <w:p w:rsidR="00890327" w:rsidRPr="00890327" w:rsidRDefault="00890327" w:rsidP="00946E8C">
            <w:pPr>
              <w:pStyle w:val="Tabellenzeilen"/>
            </w:pPr>
            <w:r w:rsidRPr="00890327">
              <w:t>Weiterführende Schule</w:t>
            </w:r>
          </w:p>
        </w:tc>
        <w:tc>
          <w:tcPr>
            <w:tcW w:w="3071" w:type="dxa"/>
          </w:tcPr>
          <w:p w:rsidR="00890327" w:rsidRPr="00890327" w:rsidRDefault="00890327" w:rsidP="00946E8C">
            <w:pPr>
              <w:pStyle w:val="Tabellenzeilen"/>
            </w:pPr>
            <w:r w:rsidRPr="00890327">
              <w:t>52</w:t>
            </w:r>
          </w:p>
        </w:tc>
        <w:tc>
          <w:tcPr>
            <w:tcW w:w="3071" w:type="dxa"/>
          </w:tcPr>
          <w:p w:rsidR="00890327" w:rsidRPr="00890327" w:rsidRDefault="00890327" w:rsidP="00946E8C">
            <w:pPr>
              <w:pStyle w:val="Tabellenzeilen"/>
            </w:pPr>
            <w:r w:rsidRPr="00890327">
              <w:t>22.5%</w:t>
            </w:r>
          </w:p>
        </w:tc>
      </w:tr>
      <w:tr w:rsidR="00890327" w:rsidRPr="00890327" w:rsidTr="00890327">
        <w:tc>
          <w:tcPr>
            <w:tcW w:w="3070" w:type="dxa"/>
          </w:tcPr>
          <w:p w:rsidR="00890327" w:rsidRPr="00890327" w:rsidRDefault="00890327" w:rsidP="00946E8C">
            <w:pPr>
              <w:pStyle w:val="Tabellenzeilen"/>
            </w:pPr>
            <w:r w:rsidRPr="00890327">
              <w:t>(Noch) keine nachhaltige Lösung</w:t>
            </w:r>
          </w:p>
        </w:tc>
        <w:tc>
          <w:tcPr>
            <w:tcW w:w="3071" w:type="dxa"/>
          </w:tcPr>
          <w:p w:rsidR="00890327" w:rsidRPr="00890327" w:rsidRDefault="00890327" w:rsidP="00946E8C">
            <w:pPr>
              <w:pStyle w:val="Tabellenzeilen"/>
            </w:pPr>
            <w:r w:rsidRPr="00890327">
              <w:t>26</w:t>
            </w:r>
          </w:p>
        </w:tc>
        <w:tc>
          <w:tcPr>
            <w:tcW w:w="3071" w:type="dxa"/>
          </w:tcPr>
          <w:p w:rsidR="00890327" w:rsidRPr="00890327" w:rsidRDefault="00890327" w:rsidP="00946E8C">
            <w:pPr>
              <w:pStyle w:val="Tabellenzeilen"/>
            </w:pPr>
            <w:r w:rsidRPr="00890327">
              <w:t>11.3%</w:t>
            </w:r>
          </w:p>
        </w:tc>
      </w:tr>
      <w:tr w:rsidR="00890327" w:rsidRPr="00890327" w:rsidTr="00890327">
        <w:tc>
          <w:tcPr>
            <w:tcW w:w="3070" w:type="dxa"/>
          </w:tcPr>
          <w:p w:rsidR="00890327" w:rsidRPr="00890327" w:rsidRDefault="00890327" w:rsidP="00946E8C">
            <w:pPr>
              <w:pStyle w:val="Tabellenzeilen"/>
            </w:pPr>
            <w:r w:rsidRPr="00890327">
              <w:t>Brückenangebot/Zwischenlösung</w:t>
            </w:r>
          </w:p>
        </w:tc>
        <w:tc>
          <w:tcPr>
            <w:tcW w:w="3071" w:type="dxa"/>
          </w:tcPr>
          <w:p w:rsidR="00890327" w:rsidRPr="00890327" w:rsidRDefault="00890327" w:rsidP="00946E8C">
            <w:pPr>
              <w:pStyle w:val="Tabellenzeilen"/>
            </w:pPr>
            <w:r w:rsidRPr="00890327">
              <w:t>25</w:t>
            </w:r>
          </w:p>
        </w:tc>
        <w:tc>
          <w:tcPr>
            <w:tcW w:w="3071" w:type="dxa"/>
          </w:tcPr>
          <w:p w:rsidR="00890327" w:rsidRPr="00890327" w:rsidRDefault="00890327" w:rsidP="00946E8C">
            <w:pPr>
              <w:pStyle w:val="Tabellenzeilen"/>
            </w:pPr>
            <w:r w:rsidRPr="00890327">
              <w:t>10.8%</w:t>
            </w:r>
          </w:p>
        </w:tc>
      </w:tr>
      <w:tr w:rsidR="00890327" w:rsidRPr="00890327" w:rsidTr="00890327">
        <w:tc>
          <w:tcPr>
            <w:tcW w:w="3070" w:type="dxa"/>
          </w:tcPr>
          <w:p w:rsidR="00890327" w:rsidRPr="00890327" w:rsidRDefault="00890327" w:rsidP="00946E8C">
            <w:pPr>
              <w:pStyle w:val="Tabellenzeilen"/>
            </w:pPr>
            <w:r w:rsidRPr="00890327">
              <w:t>Noch nicht entschieden</w:t>
            </w:r>
          </w:p>
        </w:tc>
        <w:tc>
          <w:tcPr>
            <w:tcW w:w="3071" w:type="dxa"/>
          </w:tcPr>
          <w:p w:rsidR="00890327" w:rsidRPr="00890327" w:rsidRDefault="00890327" w:rsidP="00946E8C">
            <w:pPr>
              <w:pStyle w:val="Tabellenzeilen"/>
            </w:pPr>
            <w:r w:rsidRPr="00890327">
              <w:t>1</w:t>
            </w:r>
          </w:p>
        </w:tc>
        <w:tc>
          <w:tcPr>
            <w:tcW w:w="3071" w:type="dxa"/>
          </w:tcPr>
          <w:p w:rsidR="00890327" w:rsidRPr="00890327" w:rsidRDefault="00890327" w:rsidP="00946E8C">
            <w:pPr>
              <w:pStyle w:val="Tabellenzeilen"/>
            </w:pPr>
            <w:r w:rsidRPr="00890327">
              <w:t>0.4%</w:t>
            </w:r>
          </w:p>
        </w:tc>
      </w:tr>
      <w:tr w:rsidR="00890327" w:rsidRPr="00890327" w:rsidTr="00890327">
        <w:tc>
          <w:tcPr>
            <w:tcW w:w="3070" w:type="dxa"/>
          </w:tcPr>
          <w:p w:rsidR="00890327" w:rsidRPr="00890327" w:rsidRDefault="00890327" w:rsidP="00946E8C">
            <w:pPr>
              <w:pStyle w:val="Tabellenzeilen"/>
            </w:pPr>
            <w:r w:rsidRPr="00890327">
              <w:t>Arbeit</w:t>
            </w:r>
          </w:p>
        </w:tc>
        <w:tc>
          <w:tcPr>
            <w:tcW w:w="3071" w:type="dxa"/>
          </w:tcPr>
          <w:p w:rsidR="00890327" w:rsidRPr="00890327" w:rsidRDefault="00890327" w:rsidP="00946E8C">
            <w:pPr>
              <w:pStyle w:val="Tabellenzeilen"/>
            </w:pPr>
            <w:r w:rsidRPr="00890327">
              <w:t>0</w:t>
            </w:r>
          </w:p>
        </w:tc>
        <w:tc>
          <w:tcPr>
            <w:tcW w:w="3071" w:type="dxa"/>
          </w:tcPr>
          <w:p w:rsidR="00890327" w:rsidRPr="00890327" w:rsidRDefault="00890327" w:rsidP="00946E8C">
            <w:pPr>
              <w:pStyle w:val="Tabellenzeilen"/>
            </w:pPr>
            <w:r w:rsidRPr="00890327">
              <w:t>0.0%</w:t>
            </w:r>
          </w:p>
        </w:tc>
      </w:tr>
      <w:tr w:rsidR="00890327" w:rsidRPr="00890327" w:rsidTr="00890327">
        <w:tc>
          <w:tcPr>
            <w:tcW w:w="3070" w:type="dxa"/>
          </w:tcPr>
          <w:p w:rsidR="00890327" w:rsidRPr="00890327" w:rsidRDefault="00890327" w:rsidP="00946E8C">
            <w:pPr>
              <w:pStyle w:val="Tabellenzeilen"/>
            </w:pPr>
            <w:r w:rsidRPr="00890327">
              <w:t>Total Schulabgängerinnen</w:t>
            </w:r>
          </w:p>
        </w:tc>
        <w:tc>
          <w:tcPr>
            <w:tcW w:w="3071" w:type="dxa"/>
          </w:tcPr>
          <w:p w:rsidR="00890327" w:rsidRPr="00890327" w:rsidRDefault="00890327" w:rsidP="00946E8C">
            <w:pPr>
              <w:pStyle w:val="Tabellenzeilen"/>
            </w:pPr>
            <w:r w:rsidRPr="00890327">
              <w:t>231</w:t>
            </w:r>
          </w:p>
        </w:tc>
        <w:tc>
          <w:tcPr>
            <w:tcW w:w="3071" w:type="dxa"/>
          </w:tcPr>
          <w:p w:rsidR="00890327" w:rsidRPr="00890327" w:rsidRDefault="00890327" w:rsidP="00946E8C">
            <w:pPr>
              <w:pStyle w:val="Tabellenzeilen"/>
            </w:pPr>
            <w:r w:rsidRPr="00890327">
              <w:t>100.0%</w:t>
            </w:r>
          </w:p>
        </w:tc>
      </w:tr>
    </w:tbl>
    <w:p w:rsidR="00890327" w:rsidRDefault="00890327" w:rsidP="00890327"/>
    <w:p w:rsidR="00A97E85" w:rsidRDefault="00A97E85" w:rsidP="00890327">
      <w:r>
        <w:rPr>
          <w:noProof/>
          <w:lang w:eastAsia="de-CH"/>
        </w:rPr>
        <w:drawing>
          <wp:inline distT="0" distB="0" distL="0" distR="0">
            <wp:extent cx="1143000" cy="1447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ER.jpg"/>
                    <pic:cNvPicPr/>
                  </pic:nvPicPr>
                  <pic:blipFill>
                    <a:blip r:embed="rId8" cstate="print">
                      <a:extLst>
                        <a:ext uri="{BEBA8EAE-BF5A-486C-A8C5-ECC9F3942E4B}">
                          <a14:imgProps xmlns:a14="http://schemas.microsoft.com/office/drawing/2010/main">
                            <a14:imgLayer r:embed="rId9">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1143000" cy="1447800"/>
                    </a:xfrm>
                    <a:prstGeom prst="rect">
                      <a:avLst/>
                    </a:prstGeom>
                  </pic:spPr>
                </pic:pic>
              </a:graphicData>
            </a:graphic>
          </wp:inline>
        </w:drawing>
      </w:r>
    </w:p>
    <w:sectPr w:rsidR="00A97E85" w:rsidSect="00736CC1">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134" w:left="1418"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A4F" w:rsidRDefault="007F0A4F" w:rsidP="006427CB">
      <w:r>
        <w:separator/>
      </w:r>
    </w:p>
  </w:endnote>
  <w:endnote w:type="continuationSeparator" w:id="0">
    <w:p w:rsidR="007F0A4F" w:rsidRDefault="007F0A4F" w:rsidP="0064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2C7" w:rsidRDefault="000A52C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7CB" w:rsidRDefault="006427CB" w:rsidP="00C30AE5">
    <w:pPr>
      <w:pStyle w:val="Fuzeile"/>
      <w:pBdr>
        <w:top w:val="single" w:sz="4" w:space="1" w:color="auto"/>
      </w:pBdr>
      <w:tabs>
        <w:tab w:val="clear" w:pos="9072"/>
      </w:tabs>
    </w:pPr>
    <w:r>
      <w:t>Bildungs- und Kulturdirektion</w:t>
    </w:r>
    <w:r w:rsidR="007E0677">
      <w:t xml:space="preserve"> des Kantons Uri</w:t>
    </w:r>
    <w:r w:rsidR="00C30AE5">
      <w:tab/>
    </w:r>
    <w:r>
      <w:t xml:space="preserve">Seite </w:t>
    </w:r>
    <w:r w:rsidR="003141CB">
      <w:fldChar w:fldCharType="begin"/>
    </w:r>
    <w:r w:rsidR="009A34AB">
      <w:instrText xml:space="preserve"> PAGE   \* MERGEFORMAT </w:instrText>
    </w:r>
    <w:r w:rsidR="003141CB">
      <w:fldChar w:fldCharType="separate"/>
    </w:r>
    <w:r w:rsidR="005B3021">
      <w:rPr>
        <w:noProof/>
      </w:rPr>
      <w:t>3</w:t>
    </w:r>
    <w:r w:rsidR="003141CB">
      <w:rPr>
        <w:noProof/>
      </w:rPr>
      <w:fldChar w:fldCharType="end"/>
    </w:r>
    <w:r>
      <w:t xml:space="preserve"> von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2C7" w:rsidRDefault="000A52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A4F" w:rsidRDefault="007F0A4F" w:rsidP="006427CB">
      <w:r>
        <w:separator/>
      </w:r>
    </w:p>
  </w:footnote>
  <w:footnote w:type="continuationSeparator" w:id="0">
    <w:p w:rsidR="007F0A4F" w:rsidRDefault="007F0A4F" w:rsidP="0064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2C7" w:rsidRDefault="000A52C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2C7" w:rsidRDefault="000A52C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2C7" w:rsidRDefault="000A52C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E37FF"/>
    <w:multiLevelType w:val="hybridMultilevel"/>
    <w:tmpl w:val="E2881B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0327"/>
    <w:rsid w:val="00006A01"/>
    <w:rsid w:val="000106D1"/>
    <w:rsid w:val="00060FFF"/>
    <w:rsid w:val="000A52C7"/>
    <w:rsid w:val="000C66CB"/>
    <w:rsid w:val="001A1021"/>
    <w:rsid w:val="001D06AA"/>
    <w:rsid w:val="001E2016"/>
    <w:rsid w:val="001E46BB"/>
    <w:rsid w:val="002575CE"/>
    <w:rsid w:val="00274926"/>
    <w:rsid w:val="002E5AA7"/>
    <w:rsid w:val="002E74C4"/>
    <w:rsid w:val="003141CB"/>
    <w:rsid w:val="00343B59"/>
    <w:rsid w:val="003C20BF"/>
    <w:rsid w:val="004250F2"/>
    <w:rsid w:val="00461B80"/>
    <w:rsid w:val="00576FFA"/>
    <w:rsid w:val="005B3021"/>
    <w:rsid w:val="005C2E8F"/>
    <w:rsid w:val="006427CB"/>
    <w:rsid w:val="0065079D"/>
    <w:rsid w:val="00681B6F"/>
    <w:rsid w:val="006C5ACE"/>
    <w:rsid w:val="006D4506"/>
    <w:rsid w:val="0071094D"/>
    <w:rsid w:val="00736CC1"/>
    <w:rsid w:val="007448E3"/>
    <w:rsid w:val="00751605"/>
    <w:rsid w:val="0077236B"/>
    <w:rsid w:val="00795FEC"/>
    <w:rsid w:val="007E0677"/>
    <w:rsid w:val="007F0A4F"/>
    <w:rsid w:val="007F1C52"/>
    <w:rsid w:val="0080451C"/>
    <w:rsid w:val="00845680"/>
    <w:rsid w:val="008708FC"/>
    <w:rsid w:val="00890327"/>
    <w:rsid w:val="008D6C68"/>
    <w:rsid w:val="009454DA"/>
    <w:rsid w:val="00946E8C"/>
    <w:rsid w:val="00985971"/>
    <w:rsid w:val="009A34AB"/>
    <w:rsid w:val="009B5D6E"/>
    <w:rsid w:val="009D7288"/>
    <w:rsid w:val="00A30E01"/>
    <w:rsid w:val="00A62736"/>
    <w:rsid w:val="00A97E85"/>
    <w:rsid w:val="00AC3FED"/>
    <w:rsid w:val="00AF63A8"/>
    <w:rsid w:val="00C30AE5"/>
    <w:rsid w:val="00C81F4F"/>
    <w:rsid w:val="00C93804"/>
    <w:rsid w:val="00D140FA"/>
    <w:rsid w:val="00D255B9"/>
    <w:rsid w:val="00D9534A"/>
    <w:rsid w:val="00DC7567"/>
    <w:rsid w:val="00DF3E26"/>
    <w:rsid w:val="00E23171"/>
    <w:rsid w:val="00E32E0E"/>
    <w:rsid w:val="00E44A4B"/>
    <w:rsid w:val="00E738E2"/>
    <w:rsid w:val="00EE40D4"/>
    <w:rsid w:val="00F36786"/>
    <w:rsid w:val="00F549F3"/>
    <w:rsid w:val="00F97F6B"/>
    <w:rsid w:val="00FC14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36786"/>
    <w:pPr>
      <w:spacing w:after="0" w:line="240" w:lineRule="auto"/>
    </w:pPr>
  </w:style>
  <w:style w:type="paragraph" w:styleId="berschrift1">
    <w:name w:val="heading 1"/>
    <w:basedOn w:val="Standard"/>
    <w:next w:val="Standard"/>
    <w:link w:val="berschrift1Zchn"/>
    <w:uiPriority w:val="9"/>
    <w:qFormat/>
    <w:rsid w:val="00681B6F"/>
    <w:pPr>
      <w:keepNext/>
      <w:keepLines/>
      <w:spacing w:after="140"/>
      <w:outlineLvl w:val="0"/>
    </w:pPr>
    <w:rPr>
      <w:rFonts w:eastAsiaTheme="majorEastAsia" w:cstheme="majorBidi"/>
      <w:b/>
      <w:bCs/>
      <w:sz w:val="30"/>
      <w:szCs w:val="28"/>
    </w:rPr>
  </w:style>
  <w:style w:type="paragraph" w:styleId="berschrift2">
    <w:name w:val="heading 2"/>
    <w:basedOn w:val="Standard"/>
    <w:next w:val="Standard"/>
    <w:link w:val="berschrift2Zchn"/>
    <w:uiPriority w:val="9"/>
    <w:unhideWhenUsed/>
    <w:qFormat/>
    <w:rsid w:val="00E23171"/>
    <w:pPr>
      <w:keepNext/>
      <w:keepLines/>
      <w:spacing w:after="120"/>
      <w:outlineLvl w:val="1"/>
    </w:pPr>
    <w:rPr>
      <w:rFonts w:eastAsiaTheme="majorEastAsia" w:cstheme="majorBidi"/>
      <w:b/>
      <w:bCs/>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903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681B6F"/>
    <w:rPr>
      <w:rFonts w:eastAsiaTheme="majorEastAsia" w:cstheme="majorBidi"/>
      <w:b/>
      <w:bCs/>
      <w:sz w:val="30"/>
      <w:szCs w:val="28"/>
    </w:rPr>
  </w:style>
  <w:style w:type="character" w:customStyle="1" w:styleId="berschrift2Zchn">
    <w:name w:val="Überschrift 2 Zchn"/>
    <w:basedOn w:val="Absatz-Standardschriftart"/>
    <w:link w:val="berschrift2"/>
    <w:uiPriority w:val="9"/>
    <w:rsid w:val="00E23171"/>
    <w:rPr>
      <w:rFonts w:eastAsiaTheme="majorEastAsia" w:cstheme="majorBidi"/>
      <w:b/>
      <w:bCs/>
      <w:sz w:val="24"/>
      <w:szCs w:val="26"/>
    </w:rPr>
  </w:style>
  <w:style w:type="paragraph" w:styleId="Sprechblasentext">
    <w:name w:val="Balloon Text"/>
    <w:basedOn w:val="Standard"/>
    <w:link w:val="SprechblasentextZchn"/>
    <w:uiPriority w:val="99"/>
    <w:semiHidden/>
    <w:unhideWhenUsed/>
    <w:rsid w:val="00A97E8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7E85"/>
    <w:rPr>
      <w:rFonts w:ascii="Tahoma" w:hAnsi="Tahoma" w:cs="Tahoma"/>
      <w:sz w:val="16"/>
      <w:szCs w:val="16"/>
    </w:rPr>
  </w:style>
  <w:style w:type="paragraph" w:styleId="Kopfzeile">
    <w:name w:val="header"/>
    <w:basedOn w:val="Standard"/>
    <w:link w:val="KopfzeileZchn"/>
    <w:uiPriority w:val="99"/>
    <w:unhideWhenUsed/>
    <w:rsid w:val="006427CB"/>
    <w:pPr>
      <w:tabs>
        <w:tab w:val="center" w:pos="4536"/>
        <w:tab w:val="right" w:pos="9072"/>
      </w:tabs>
    </w:pPr>
  </w:style>
  <w:style w:type="character" w:customStyle="1" w:styleId="KopfzeileZchn">
    <w:name w:val="Kopfzeile Zchn"/>
    <w:basedOn w:val="Absatz-Standardschriftart"/>
    <w:link w:val="Kopfzeile"/>
    <w:uiPriority w:val="99"/>
    <w:rsid w:val="006427CB"/>
  </w:style>
  <w:style w:type="paragraph" w:styleId="Fuzeile">
    <w:name w:val="footer"/>
    <w:basedOn w:val="Standard"/>
    <w:link w:val="FuzeileZchn"/>
    <w:uiPriority w:val="99"/>
    <w:unhideWhenUsed/>
    <w:rsid w:val="006427CB"/>
    <w:pPr>
      <w:tabs>
        <w:tab w:val="center" w:pos="4536"/>
        <w:tab w:val="right" w:pos="9072"/>
      </w:tabs>
    </w:pPr>
  </w:style>
  <w:style w:type="character" w:customStyle="1" w:styleId="FuzeileZchn">
    <w:name w:val="Fußzeile Zchn"/>
    <w:basedOn w:val="Absatz-Standardschriftart"/>
    <w:link w:val="Fuzeile"/>
    <w:uiPriority w:val="99"/>
    <w:rsid w:val="006427CB"/>
  </w:style>
  <w:style w:type="paragraph" w:customStyle="1" w:styleId="Tabellenzeilen">
    <w:name w:val="Tabellenzeilen"/>
    <w:link w:val="TabellenzeilenZchn"/>
    <w:qFormat/>
    <w:rsid w:val="00946E8C"/>
    <w:pPr>
      <w:spacing w:after="0" w:line="240" w:lineRule="auto"/>
    </w:pPr>
  </w:style>
  <w:style w:type="character" w:customStyle="1" w:styleId="TabellenzeilenZchn">
    <w:name w:val="Tabellenzeilen Zchn"/>
    <w:basedOn w:val="Absatz-Standardschriftart"/>
    <w:link w:val="Tabellenzeilen"/>
    <w:rsid w:val="00946E8C"/>
  </w:style>
  <w:style w:type="paragraph" w:styleId="Listenabsatz">
    <w:name w:val="List Paragraph"/>
    <w:basedOn w:val="Standard"/>
    <w:uiPriority w:val="34"/>
    <w:qFormat/>
    <w:rsid w:val="00EE40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1C52"/>
    <w:pPr>
      <w:spacing w:after="0"/>
    </w:pPr>
    <w:rPr>
      <w:rFonts w:ascii="Arial" w:hAnsi="Arial"/>
      <w:sz w:val="24"/>
    </w:rPr>
  </w:style>
  <w:style w:type="paragraph" w:styleId="berschrift1">
    <w:name w:val="heading 1"/>
    <w:basedOn w:val="Standard"/>
    <w:next w:val="Standard"/>
    <w:link w:val="berschrift1Zchn"/>
    <w:uiPriority w:val="9"/>
    <w:qFormat/>
    <w:rsid w:val="004250F2"/>
    <w:pPr>
      <w:keepNext/>
      <w:keepLines/>
      <w:spacing w:after="140"/>
      <w:outlineLvl w:val="0"/>
    </w:pPr>
    <w:rPr>
      <w:rFonts w:asciiTheme="majorHAnsi" w:eastAsiaTheme="majorEastAsia" w:hAnsiTheme="majorHAnsi" w:cstheme="majorBidi"/>
      <w:b/>
      <w:bCs/>
      <w:sz w:val="30"/>
      <w:szCs w:val="28"/>
    </w:rPr>
  </w:style>
  <w:style w:type="paragraph" w:styleId="berschrift2">
    <w:name w:val="heading 2"/>
    <w:basedOn w:val="Standard"/>
    <w:next w:val="Standard"/>
    <w:link w:val="berschrift2Zchn"/>
    <w:uiPriority w:val="9"/>
    <w:unhideWhenUsed/>
    <w:qFormat/>
    <w:rsid w:val="004250F2"/>
    <w:pPr>
      <w:keepNext/>
      <w:keepLines/>
      <w:spacing w:after="120"/>
      <w:outlineLvl w:val="1"/>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903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4250F2"/>
    <w:rPr>
      <w:rFonts w:asciiTheme="majorHAnsi" w:eastAsiaTheme="majorEastAsia" w:hAnsiTheme="majorHAnsi" w:cstheme="majorBidi"/>
      <w:b/>
      <w:bCs/>
      <w:sz w:val="30"/>
      <w:szCs w:val="28"/>
    </w:rPr>
  </w:style>
  <w:style w:type="character" w:customStyle="1" w:styleId="berschrift2Zchn">
    <w:name w:val="Überschrift 2 Zchn"/>
    <w:basedOn w:val="Absatz-Standardschriftart"/>
    <w:link w:val="berschrift2"/>
    <w:uiPriority w:val="9"/>
    <w:rsid w:val="004250F2"/>
    <w:rPr>
      <w:rFonts w:asciiTheme="majorHAnsi" w:eastAsiaTheme="majorEastAsia" w:hAnsiTheme="majorHAnsi" w:cstheme="majorBidi"/>
      <w:b/>
      <w:bCs/>
      <w:sz w:val="26"/>
      <w:szCs w:val="26"/>
    </w:rPr>
  </w:style>
  <w:style w:type="paragraph" w:styleId="Sprechblasentext">
    <w:name w:val="Balloon Text"/>
    <w:basedOn w:val="Standard"/>
    <w:link w:val="SprechblasentextZchn"/>
    <w:uiPriority w:val="99"/>
    <w:semiHidden/>
    <w:unhideWhenUsed/>
    <w:rsid w:val="00A97E8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7E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454</Words>
  <Characters>2864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 Kaufmann</dc:creator>
  <cp:lastModifiedBy>Kaufmann</cp:lastModifiedBy>
  <cp:revision>2</cp:revision>
  <dcterms:created xsi:type="dcterms:W3CDTF">2012-08-06T14:08:00Z</dcterms:created>
  <dcterms:modified xsi:type="dcterms:W3CDTF">2013-01-06T10:26:00Z</dcterms:modified>
</cp:coreProperties>
</file>