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31A" w:rsidRPr="006B431A" w:rsidRDefault="006B431A" w:rsidP="00D325A3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40"/>
          <w:szCs w:val="40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40"/>
          <w:szCs w:val="40"/>
          <w:lang w:eastAsia="de-CH"/>
        </w:rPr>
        <w:t>Schweizer Börse erneut mit deutlichen Einbussen</w:t>
      </w:r>
    </w:p>
    <w:p w:rsidR="006B431A" w:rsidRPr="006B431A" w:rsidRDefault="006B431A" w:rsidP="005A2961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666665"/>
          <w:sz w:val="21"/>
          <w:szCs w:val="21"/>
          <w:lang w:eastAsia="de-CH"/>
        </w:rPr>
      </w:pPr>
      <w:r w:rsidRPr="006B431A">
        <w:rPr>
          <w:rFonts w:ascii="Georgia" w:eastAsia="Times New Roman" w:hAnsi="Georgia" w:cs="Arial"/>
          <w:color w:val="666665"/>
          <w:sz w:val="21"/>
          <w:szCs w:val="21"/>
          <w:lang w:eastAsia="de-CH"/>
        </w:rPr>
        <w:t xml:space="preserve">Aktualisiert am 27.10.2008 </w:t>
      </w:r>
    </w:p>
    <w:p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Die Schweizer Börse hat am Montag erneut deutliche Einbussen verzeichnet. Die Kurse nähmen inzwischen eine tiefe Rezession vorweg, erklärten Händler.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Am Nachmittag lösten sich die Kurse im Fahrwasser der Wall Street zwar von ihren Tiefstwerten. EZB-Chef Jean-Claude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Trichets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Aussagen waren als Hinweis auf eine baldige Zinssenkung interpretiert worden. Zudem stiegen die US-Hausverkäufe unerwartet an und der Ölpreis setzte seinen Kursrückgang fort.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Dies begünstigte eine teilweise Erholung. Doch mehr als eine technische Gegenbewegung dürfte dies nicht darstellen, hiess es. Noch immer seien die Verunsicherung und die Angst vor weiteren Kurseinbussen gross.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Der </w:t>
      </w:r>
      <w:hyperlink r:id="rId5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SMI-Index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schloss nach einem Tagestief bei 5367 Punkten um 3,07 Prozent unter dem Vorabend bei 5500,94 Punkten. Der breite </w:t>
      </w:r>
      <w:hyperlink r:id="rId6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SPI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sank 3,24 Prozent auf 4530,87 Zähler.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Händler wollten in den kommenden Tagen einen Test des bisherigen Jahrestiefs des </w:t>
      </w:r>
      <w:hyperlink r:id="rId7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SMI-Index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bei 5266 Punkten nicht ausschliessen. «Eventuell gehen wir kurzfristig gar noch etwas tiefer. Aber danach ist mit einer heftigen Gegenbewegung nach oben zu rechnen», sagte ein Händler.</w:t>
      </w:r>
    </w:p>
    <w:p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proofErr w:type="spellStart"/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Lonza</w:t>
      </w:r>
      <w:proofErr w:type="spellEnd"/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 xml:space="preserve"> stürzt ab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Einem massiven Kursverlust von 18 Prozent erlitten am Montag die Aktien des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Lifescience-Konzerns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</w:t>
      </w:r>
      <w:hyperlink r:id="rId8" w:tgtFrame="_blank" w:history="1">
        <w:proofErr w:type="spellStart"/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Lonza</w:t>
        </w:r>
        <w:proofErr w:type="spellEnd"/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. Der Pharmaauftragshersteller ist nicht mehr sicher, dass er 2008 den Betriebsgewinn wie versprochen um mindestens 15 Prozent steigern kann.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Auch zyklische Industriewerte wie </w:t>
      </w:r>
      <w:hyperlink r:id="rId9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Clariant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, </w:t>
      </w:r>
      <w:hyperlink r:id="rId10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ABB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, </w:t>
      </w:r>
      <w:hyperlink r:id="rId11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Sulzer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, </w:t>
      </w:r>
      <w:hyperlink r:id="rId12" w:tgtFrame="_blank" w:history="1">
        <w:proofErr w:type="spellStart"/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Rieter</w:t>
        </w:r>
        <w:proofErr w:type="spellEnd"/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und </w:t>
      </w:r>
      <w:hyperlink r:id="rId13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Fischer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gaben kräftig nach. Solarzulieferer wie Meyer Burger oder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Oerlikon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litten laut Händlern unter einer kritischen Studie einer US-Bank über Alternativenergien.</w:t>
      </w:r>
    </w:p>
    <w:p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Roche und Nestlé bei Verlierern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Die Papiere der als defensiv eingestuften Pharmaunternehmen </w:t>
      </w:r>
      <w:hyperlink r:id="rId14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Roche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sowie des Nahrungsmittelriesen </w:t>
      </w:r>
      <w:hyperlink r:id="rId15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verloren ebenfalls Terrain. Während bei </w:t>
      </w:r>
      <w:hyperlink r:id="rId16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Roche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die geplante Übernahme der US-Tochter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Genentech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den Kurs zusätzlich belastete, sorgte laut Händlern bei </w:t>
      </w:r>
      <w:hyperlink r:id="rId17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der Verkauf von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Alcon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an </w:t>
      </w:r>
      <w:hyperlink r:id="rId18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Novartis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für Verunsicherung.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«Es wird im Markt darüber spekuliert, dass der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Alcon-Verkauf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neu ausgehandelt werden könnte», sagte ein Händler. Ein </w:t>
      </w:r>
      <w:hyperlink r:id="rId19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-Sprecher erklärte dagegen, die Kurseinbussen der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Alcon-Aktie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hätten keinen Einfluss auf den für 2010 bis 2011 geplanten Verkauf von </w:t>
      </w:r>
      <w:proofErr w:type="spellStart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Alcon-Anteilen</w:t>
      </w:r>
      <w:proofErr w:type="spellEnd"/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.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hyperlink r:id="rId20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Nestlé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und </w:t>
      </w:r>
      <w:hyperlink r:id="rId21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Roche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büssten rund zwei Prozent ein. </w:t>
      </w:r>
      <w:hyperlink r:id="rId22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Novartis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kletterte dagegen 1,3 Prozent und war der einzige Standardwert mit Kursgewinnen.</w:t>
      </w:r>
    </w:p>
    <w:p w:rsidR="006B431A" w:rsidRPr="006B431A" w:rsidRDefault="006B431A" w:rsidP="00176D3E">
      <w:pPr>
        <w:shd w:val="clear" w:color="auto" w:fill="FFFFFF"/>
        <w:spacing w:after="120" w:line="240" w:lineRule="auto"/>
        <w:rPr>
          <w:rFonts w:ascii="Georgia" w:eastAsia="Times New Roman" w:hAnsi="Georgia" w:cs="Arial"/>
          <w:b/>
          <w:bCs/>
          <w:color w:val="333333"/>
          <w:lang w:eastAsia="de-CH"/>
        </w:rPr>
      </w:pPr>
      <w:r w:rsidRPr="006B431A">
        <w:rPr>
          <w:rFonts w:ascii="Georgia" w:eastAsia="Times New Roman" w:hAnsi="Georgia" w:cs="Arial"/>
          <w:b/>
          <w:bCs/>
          <w:color w:val="333333"/>
          <w:lang w:eastAsia="de-CH"/>
        </w:rPr>
        <w:t>Grossbanken geben weiter nach</w:t>
      </w:r>
    </w:p>
    <w:p w:rsidR="006B431A" w:rsidRPr="006B431A" w:rsidRDefault="006B431A" w:rsidP="0025633D">
      <w:pPr>
        <w:shd w:val="clear" w:color="auto" w:fill="FFFFFF"/>
        <w:spacing w:after="120" w:line="240" w:lineRule="auto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Die Aktien von Banken und Versicherungen fielen um bis zu elf Prozent. Zuletzt lagen </w:t>
      </w:r>
      <w:hyperlink r:id="rId23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CS Group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um rund zehn und </w:t>
      </w:r>
      <w:hyperlink r:id="rId24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UBS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um acht Prozent im Minus. </w:t>
      </w:r>
      <w:hyperlink r:id="rId25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Swiss Re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wurden mit Abschlägen von elf Prozent gehandelt. </w:t>
      </w:r>
      <w:hyperlink r:id="rId26" w:tgtFrame="_blank" w:history="1">
        <w:r w:rsidR="008F4E9D"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Zürich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ermässigten sich um sieben Prozent und </w:t>
      </w:r>
      <w:hyperlink r:id="rId27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Swiss Life</w:t>
        </w:r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 büssten vier Prozent ein.</w:t>
      </w:r>
    </w:p>
    <w:p w:rsidR="006B431A" w:rsidRPr="006B431A" w:rsidRDefault="006B431A" w:rsidP="008F4E9D">
      <w:pPr>
        <w:shd w:val="clear" w:color="auto" w:fill="FFFFFF"/>
        <w:spacing w:before="120" w:after="360"/>
        <w:rPr>
          <w:rFonts w:ascii="Georgia" w:eastAsia="Times New Roman" w:hAnsi="Georgia" w:cs="Arial"/>
          <w:color w:val="333333"/>
          <w:sz w:val="24"/>
          <w:szCs w:val="24"/>
          <w:lang w:eastAsia="de-CH"/>
        </w:rPr>
      </w:pPr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 xml:space="preserve">Knapp gehalten waren die Aktien des Warenprüfkonzerns </w:t>
      </w:r>
      <w:hyperlink r:id="rId28" w:tgtFrame="_blank" w:history="1"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 xml:space="preserve">SGS </w:t>
        </w:r>
        <w:proofErr w:type="spellStart"/>
        <w:r w:rsidRPr="0025633D">
          <w:rPr>
            <w:rFonts w:ascii="Georgia" w:eastAsia="Times New Roman" w:hAnsi="Georgia" w:cs="Arial"/>
            <w:color w:val="333333"/>
            <w:sz w:val="24"/>
            <w:szCs w:val="24"/>
            <w:lang w:eastAsia="de-CH"/>
          </w:rPr>
          <w:t>Surveillance</w:t>
        </w:r>
        <w:proofErr w:type="spellEnd"/>
      </w:hyperlink>
      <w:r w:rsidRPr="006B431A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, der seine Ziele bestätigt hat. Die Firma rechnet bis Jahresende nicht mit Gegenwind. In allen Berei</w:t>
      </w:r>
      <w:r w:rsidR="0025633D">
        <w:rPr>
          <w:rFonts w:ascii="Georgia" w:eastAsia="Times New Roman" w:hAnsi="Georgia" w:cs="Arial"/>
          <w:color w:val="333333"/>
          <w:sz w:val="24"/>
          <w:szCs w:val="24"/>
          <w:lang w:eastAsia="de-CH"/>
        </w:rPr>
        <w:t>chen und Regionen laufe es gut.</w:t>
      </w:r>
    </w:p>
    <w:sectPr w:rsidR="006B431A" w:rsidRPr="006B431A" w:rsidSect="0025633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076F"/>
    <w:multiLevelType w:val="multilevel"/>
    <w:tmpl w:val="9C7A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proofState w:spelling="clean" w:grammar="clean"/>
  <w:defaultTabStop w:val="708"/>
  <w:hyphenationZone w:val="425"/>
  <w:characterSpacingControl w:val="doNotCompress"/>
  <w:compat/>
  <w:rsids>
    <w:rsidRoot w:val="006B431A"/>
    <w:rsid w:val="00176D3E"/>
    <w:rsid w:val="0025633D"/>
    <w:rsid w:val="005A2961"/>
    <w:rsid w:val="0063430B"/>
    <w:rsid w:val="006B431A"/>
    <w:rsid w:val="00797C27"/>
    <w:rsid w:val="008F4E9D"/>
    <w:rsid w:val="0095102C"/>
    <w:rsid w:val="00B51B7D"/>
    <w:rsid w:val="00C35183"/>
    <w:rsid w:val="00D155A5"/>
    <w:rsid w:val="00D25AAC"/>
    <w:rsid w:val="00D32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02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6B431A"/>
    <w:rPr>
      <w:strike w:val="0"/>
      <w:dstrike w:val="0"/>
      <w:color w:val="B62A2F"/>
      <w:u w:val="none"/>
      <w:effect w:val="none"/>
    </w:rPr>
  </w:style>
  <w:style w:type="paragraph" w:customStyle="1" w:styleId="teaser1">
    <w:name w:val="teaser1"/>
    <w:basedOn w:val="Standard"/>
    <w:rsid w:val="006B431A"/>
    <w:pPr>
      <w:spacing w:before="100" w:beforeAutospacing="1" w:after="360" w:line="360" w:lineRule="atLeast"/>
    </w:pPr>
    <w:rPr>
      <w:rFonts w:ascii="Arial" w:eastAsia="Times New Roman" w:hAnsi="Arial" w:cs="Arial"/>
      <w:b/>
      <w:bCs/>
      <w:sz w:val="26"/>
      <w:szCs w:val="26"/>
      <w:lang w:eastAsia="de-CH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6B43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6B431A"/>
    <w:rPr>
      <w:rFonts w:ascii="Arial" w:eastAsia="Times New Roman" w:hAnsi="Arial" w:cs="Arial"/>
      <w:vanish/>
      <w:sz w:val="16"/>
      <w:szCs w:val="16"/>
      <w:lang w:eastAsia="de-CH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6B43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CH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6B431A"/>
    <w:rPr>
      <w:rFonts w:ascii="Arial" w:eastAsia="Times New Roman" w:hAnsi="Arial" w:cs="Arial"/>
      <w:vanish/>
      <w:sz w:val="16"/>
      <w:szCs w:val="16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9861">
          <w:marLeft w:val="1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0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-net.ch/de/hidden.htm?url=detail/display.layout&amp;show=1&amp;inst=FIMS.1384101,380&amp;navi=shares&amp;view=traditionell&amp;_style=none&amp;up=none&amp;page=21&amp;navi=shares&amp;node=11" TargetMode="External"/><Relationship Id="rId13" Type="http://schemas.openxmlformats.org/officeDocument/2006/relationships/hyperlink" Target="https://www.trade-net.ch/secure/de/hidden.htm?url=detail/display.layout&amp;inst=FIMS.175230%2C4&amp;hl=fischer&amp;back=%2Fcgi-bin%2Fparse%2Fsearch%2Fdisplay.layout%3FSEARCH%3Dfischer%26MATCH%3Dsearch" TargetMode="External"/><Relationship Id="rId18" Type="http://schemas.openxmlformats.org/officeDocument/2006/relationships/hyperlink" Target="http://www.trade-net.ch/de/hidden.htm?url=detail/display.layout&amp;show=1&amp;inst=FIMS.1200526,380&amp;navi=shares&amp;view=traditionell&amp;_style=none&amp;up=none&amp;page=22&amp;navi=shares&amp;node=11" TargetMode="External"/><Relationship Id="rId26" Type="http://schemas.openxmlformats.org/officeDocument/2006/relationships/hyperlink" Target="http://www.trade-net.ch/de/hidden.htm?url=detail/display.layout&amp;show=1&amp;inst=FIMS.1107539,380&amp;navi=shares&amp;view=traditionell&amp;_style=none&amp;up=none&amp;page=23&amp;navi=shares&amp;node=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rade-net.ch/de/hidden.htm?url=detail/display.layout&amp;show=1&amp;inst=FIMS.1203204,380&amp;navi=shares&amp;view=traditionell&amp;_style=none&amp;up=none&amp;page=23&amp;navi=shares&amp;node=11" TargetMode="External"/><Relationship Id="rId7" Type="http://schemas.openxmlformats.org/officeDocument/2006/relationships/hyperlink" Target="http://www.trade-net.ch/de/hidden.htm?url=detail/display.layout&amp;show=1&amp;inst=FIMS.998089,241&amp;navi=shares" TargetMode="External"/><Relationship Id="rId12" Type="http://schemas.openxmlformats.org/officeDocument/2006/relationships/hyperlink" Target="https://www.trade-net.ch/secure/de/hidden.htm?url=detail/display.layout&amp;inst=FIMS.367144%2C4&amp;hl=rieter&amp;back=%2Fcgi-bin%2Fparse%2Fsearch%2Fdisplay.layout%3FSEARCH%3Drieter%26MATCH%3Dsearch" TargetMode="External"/><Relationship Id="rId17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25" Type="http://schemas.openxmlformats.org/officeDocument/2006/relationships/hyperlink" Target="http://www.trade-net.ch/de/hidden.htm?url=detail/display.layout&amp;show=1&amp;inst=FIMS.1233237,380&amp;navi=shares&amp;view=traditionell&amp;_style=none&amp;up=none&amp;page=23&amp;navi=shares&amp;node=1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rade-net.ch/de/hidden.htm?url=detail/display.layout&amp;show=1&amp;inst=FIMS.1203204,380&amp;navi=shares&amp;view=traditionell&amp;_style=none&amp;up=none&amp;page=23&amp;navi=shares&amp;node=11" TargetMode="External"/><Relationship Id="rId20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trade-net.ch/secure/de/hidden.htm?url=detail/display.layout&amp;inst=FIMS.998750%2C244&amp;hl=spi&amp;back=%2Fcgi-bin%2Fparse%2Fsearch%2Fdisplay.layout%3FSEARCH%3Dspi%26MATCH%3Dsearch" TargetMode="External"/><Relationship Id="rId11" Type="http://schemas.openxmlformats.org/officeDocument/2006/relationships/hyperlink" Target="http://www.trade-net.ch/de/hidden.htm?url=detail/display.layout&amp;inst=FIMS.237645%2C380&amp;hl=sulzer&amp;back=%2Fcgi-bin%2Fparse%2Fsearch%2Fdisplay.layout%3FSEARCH%3Dsulzer%26MATCH%3Dsearch" TargetMode="External"/><Relationship Id="rId24" Type="http://schemas.openxmlformats.org/officeDocument/2006/relationships/hyperlink" Target="http://www.trade-net.ch/de/hidden.htm?url=detail/display.layout&amp;show=1&amp;inst=FIMS.1203203,380&amp;navi=shares&amp;view=traditionell&amp;_style=none&amp;up=none&amp;page=23&amp;navi=shares&amp;node=11" TargetMode="External"/><Relationship Id="rId5" Type="http://schemas.openxmlformats.org/officeDocument/2006/relationships/hyperlink" Target="http://www.trade-net.ch/de/hidden.htm?url=detail/display.layout&amp;show=1&amp;inst=FIMS.998089,241&amp;navi=shares" TargetMode="External"/><Relationship Id="rId15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23" Type="http://schemas.openxmlformats.org/officeDocument/2006/relationships/hyperlink" Target="http://www.trade-net.ch/shares_detail.html?exch=VTX&amp;valor=1213853" TargetMode="External"/><Relationship Id="rId28" Type="http://schemas.openxmlformats.org/officeDocument/2006/relationships/hyperlink" Target="http://www.trade-net.ch/de/hidden.htm?url=detail/display.layout&amp;show=1&amp;inst=FIMS.249745,380&amp;navi=shares&amp;view=traditionell&amp;_style=none&amp;up=none&amp;page=23&amp;navi=shares&amp;node=11" TargetMode="External"/><Relationship Id="rId10" Type="http://schemas.openxmlformats.org/officeDocument/2006/relationships/hyperlink" Target="http://www.trade-net.ch/de/hidden.htm?url=detail/display.layout&amp;show=1&amp;inst=FIMS.1222171,380&amp;navi=shares&amp;view=traditionell&amp;_style=none&amp;up=none&amp;page=&amp;navi=shares&amp;node=11" TargetMode="External"/><Relationship Id="rId19" Type="http://schemas.openxmlformats.org/officeDocument/2006/relationships/hyperlink" Target="http://www.trade-net.ch/de/hidden.htm?url=detail/display.layout&amp;show=1&amp;inst=FIMS.1205604,380&amp;navi=shares&amp;view=traditionell&amp;_style=none&amp;up=none&amp;page=22&amp;navi=shares&amp;node=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ade-net.ch/de/hidden.htm?url=detail/display.layout&amp;show=1&amp;inst=FIMS.1214263,380&amp;navi=shares&amp;view=traditionell&amp;_style=none&amp;up=none&amp;page=21&amp;navi=shares&amp;node=11" TargetMode="External"/><Relationship Id="rId14" Type="http://schemas.openxmlformats.org/officeDocument/2006/relationships/hyperlink" Target="http://www.trade-net.ch/de/hidden.htm?url=detail/display.layout&amp;show=1&amp;inst=FIMS.1203204,380&amp;navi=shares&amp;view=traditionell&amp;_style=none&amp;up=none&amp;page=23&amp;navi=shares&amp;node=11" TargetMode="External"/><Relationship Id="rId22" Type="http://schemas.openxmlformats.org/officeDocument/2006/relationships/hyperlink" Target="http://www.trade-net.ch/de/hidden.htm?url=detail/display.layout&amp;show=1&amp;inst=FIMS.1200526,380&amp;navi=shares&amp;view=traditionell&amp;_style=none&amp;up=none&amp;page=22&amp;navi=shares&amp;node=11" TargetMode="External"/><Relationship Id="rId27" Type="http://schemas.openxmlformats.org/officeDocument/2006/relationships/hyperlink" Target="http://www.trade-net.ch/de/hidden.htm?url=detail/display.layout&amp;inst=FIMS.1485278%2C380&amp;hl=swiss+life&amp;back=%2Fcgi-bin%2Fparse%2Fsearch%2Fdisplay.layout%3FSEARCH%3Dswiss+life%26MATCH%3Dsearc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6525</Characters>
  <Application>Microsoft Office Word</Application>
  <DocSecurity>0</DocSecurity>
  <Lines>54</Lines>
  <Paragraphs>15</Paragraphs>
  <ScaleCrop>false</ScaleCrop>
  <Company/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Hans-Rudolf Wenger</dc:creator>
  <cp:lastModifiedBy>Hans-Rudolf Wenger</cp:lastModifiedBy>
  <cp:revision>5</cp:revision>
  <dcterms:created xsi:type="dcterms:W3CDTF">2008-12-11T15:01:00Z</dcterms:created>
  <dcterms:modified xsi:type="dcterms:W3CDTF">2008-12-11T15:11:00Z</dcterms:modified>
</cp:coreProperties>
</file>