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69D5D" w14:textId="77777777" w:rsidR="006B431A" w:rsidRPr="006B431A" w:rsidRDefault="006B431A" w:rsidP="00D325A3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40"/>
          <w:szCs w:val="40"/>
          <w:lang w:eastAsia="de-CH"/>
        </w:rPr>
      </w:pPr>
      <w:bookmarkStart w:id="0" w:name="_GoBack"/>
      <w:bookmarkEnd w:id="0"/>
      <w:r w:rsidRPr="006B431A">
        <w:rPr>
          <w:rFonts w:ascii="Georgia" w:eastAsia="Times New Roman" w:hAnsi="Georgia" w:cs="Arial"/>
          <w:color w:val="333333"/>
          <w:sz w:val="40"/>
          <w:szCs w:val="40"/>
          <w:lang w:eastAsia="de-CH"/>
        </w:rPr>
        <w:t>Schweizer Börse erneut mit deutlichen Einbussen</w:t>
      </w:r>
    </w:p>
    <w:p w14:paraId="521FDD43" w14:textId="77777777" w:rsidR="006B431A" w:rsidRPr="006B431A" w:rsidRDefault="006B431A" w:rsidP="005A2961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666665"/>
          <w:sz w:val="21"/>
          <w:szCs w:val="21"/>
          <w:lang w:eastAsia="de-CH"/>
        </w:rPr>
      </w:pPr>
      <w:r w:rsidRPr="006B431A">
        <w:rPr>
          <w:rFonts w:ascii="Georgia" w:eastAsia="Times New Roman" w:hAnsi="Georgia" w:cs="Arial"/>
          <w:color w:val="666665"/>
          <w:sz w:val="21"/>
          <w:szCs w:val="21"/>
          <w:lang w:eastAsia="de-CH"/>
        </w:rPr>
        <w:t xml:space="preserve">Aktualisiert am 27.10.2008 </w:t>
      </w:r>
    </w:p>
    <w:p w14:paraId="2B78436F" w14:textId="77777777"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Die Schweizer Börse hat am Montag erneut deutliche Einbussen verzeichnet. Die Kurse nähmen inzwischen eine tiefe Rezession vorweg, erklärten Händler.</w:t>
      </w:r>
    </w:p>
    <w:p w14:paraId="3FBFC8F9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Am Nachmittag lösten sich die Kurse im Fahrwasser der Wall Street zwar von ihren Tiefstwerten. EZB-Chef Jean-Claude Trichets Aussagen waren als Hinweis auf eine baldige Zinssenkung interpretiert worden. Zudem stiegen die US-Hausverkäufe unerwartet an und der Ölpreis setzte seinen Kursrückgang fort.</w:t>
      </w:r>
    </w:p>
    <w:p w14:paraId="3B8DD585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Dies begünstigte eine teilweise Erholung. Doch mehr als eine technische Gegenbewegung dürfte dies nicht darstellen, hiess es. Noch immer seien die Verunsicherung und die Angst vor weiteren Kurseinbussen gross.</w:t>
      </w:r>
    </w:p>
    <w:p w14:paraId="4B4519B8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Der </w:t>
      </w:r>
      <w:hyperlink r:id="rId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SMI-Index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schloss nach einem Tagestief bei 5367 Punkten um 3,07 Prozent unter dem Vorabend bei 5500,94 Punkten. Der breite </w:t>
      </w:r>
      <w:hyperlink r:id="rId6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SPI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sank 3,24 Prozent auf 4530,87 Zähler.</w:t>
      </w:r>
    </w:p>
    <w:p w14:paraId="34F88FD8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Händler wollten in den kommenden Tagen einen Test des bisherigen Jahrestiefs des </w:t>
      </w:r>
      <w:hyperlink r:id="rId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SMI-Index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bei 5266 Punkten nicht ausschliessen. «Eventuell gehen wir kurzfristig gar noch etwas tiefer. Aber danach ist mit einer heftigen Gegenbewegung nach oben zu rechnen», sagte ein Händler.</w:t>
      </w:r>
    </w:p>
    <w:p w14:paraId="3EB32FCE" w14:textId="77777777"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Lonza stürzt ab</w:t>
      </w:r>
    </w:p>
    <w:p w14:paraId="7B3DBF9C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Einem massiven Kursverlust von 18 Prozent erlitten am Montag die Aktien des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Lifescience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-Konzerns </w:t>
      </w:r>
      <w:hyperlink r:id="rId8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Lonza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. Der Pharmaauftragshersteller ist nicht mehr sicher, dass er 2008 den Betriebsgewinn wie versprochen um mindestens 15 Prozent steigern kann.</w:t>
      </w:r>
    </w:p>
    <w:p w14:paraId="0AECB258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Auch zyklische Industriewerte wie </w:t>
      </w:r>
      <w:hyperlink r:id="rId9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Clariant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0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ABB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1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Sulzer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2" w:tgtFrame="_blank" w:history="1">
        <w:proofErr w:type="spellStart"/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Rieter</w:t>
        </w:r>
        <w:proofErr w:type="spellEnd"/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und </w:t>
      </w:r>
      <w:hyperlink r:id="rId13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Fischer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gaben kräftig nach. Solarzulieferer wie Meyer Burger oder Oerlikon litten laut Händlern unter einer kritischen Studie einer US-Bank über Alternativenergien.</w:t>
      </w:r>
    </w:p>
    <w:p w14:paraId="35829863" w14:textId="77777777"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Roche und Nestlé bei Verlierern</w:t>
      </w:r>
    </w:p>
    <w:p w14:paraId="6E1CCD34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Die Papiere der als defensiv eingestuften Pharmaunternehmen </w:t>
      </w:r>
      <w:hyperlink r:id="rId14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sowie des Nahrungsmittelriesen </w:t>
      </w:r>
      <w:hyperlink r:id="rId1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verloren ebenfalls Terrain. Während bei </w:t>
      </w:r>
      <w:hyperlink r:id="rId16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die geplante Übernahme der US-Tochter Genentech den Kurs zusätzlich belastete, sorgte laut Händlern bei </w:t>
      </w:r>
      <w:hyperlink r:id="rId1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der Verkauf von Alcon an </w:t>
      </w:r>
      <w:hyperlink r:id="rId18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Novartis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für Verunsicherung.</w:t>
      </w:r>
    </w:p>
    <w:p w14:paraId="61F9296B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«Es wird im Markt darüber spekuliert, dass der Alcon-Verkauf neu ausgehandelt werden könnte», sagte ein Händler. Ein </w:t>
      </w:r>
      <w:hyperlink r:id="rId19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-Sprecher erklärte dagegen, die Kurseinbussen der Alcon-Aktie hätten keinen Einfluss auf den für 2010 bis 2011 geplanten Verkauf von Alcon-Anteilen.</w:t>
      </w:r>
    </w:p>
    <w:p w14:paraId="2EB6CC82" w14:textId="77777777" w:rsidR="006B431A" w:rsidRPr="006B431A" w:rsidRDefault="00B875B5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hyperlink r:id="rId20" w:tgtFrame="_blank" w:history="1">
        <w:r w:rsidR="006B431A"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="006B431A"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und </w:t>
      </w:r>
      <w:hyperlink r:id="rId21" w:tgtFrame="_blank" w:history="1">
        <w:r w:rsidR="006B431A"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="006B431A"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büssten rund zwei Prozent ein. </w:t>
      </w:r>
      <w:hyperlink r:id="rId22" w:tgtFrame="_blank" w:history="1">
        <w:r w:rsidR="006B431A"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Novartis</w:t>
        </w:r>
      </w:hyperlink>
      <w:r w:rsidR="006B431A"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kletterte dagegen 1,3 Prozent und war der einzige Standardwert mit Kursgewinnen.</w:t>
      </w:r>
    </w:p>
    <w:p w14:paraId="35D05A83" w14:textId="77777777"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Grossbanken geben weiter nach</w:t>
      </w:r>
    </w:p>
    <w:p w14:paraId="152D31C7" w14:textId="77777777"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Die Aktien von Banken und Versicherungen fielen um bis zu elf Prozent. Zuletzt lagen </w:t>
      </w:r>
      <w:hyperlink r:id="rId23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CS Group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um rund zehn und </w:t>
      </w:r>
      <w:hyperlink r:id="rId24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UBS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um acht Prozent im Minus. </w:t>
      </w:r>
      <w:hyperlink r:id="rId2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Swiss Re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wurden mit Abschlägen von elf Prozent gehandelt. </w:t>
      </w:r>
      <w:hyperlink r:id="rId26" w:tgtFrame="_blank" w:history="1">
        <w:r w:rsidR="008F4E9D"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Zürich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ermässigten sich um sieben Prozent und </w:t>
      </w:r>
      <w:hyperlink r:id="rId2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Swiss Life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büssten vier Prozent ein.</w:t>
      </w:r>
    </w:p>
    <w:p w14:paraId="01DB5F23" w14:textId="77777777" w:rsidR="006B431A" w:rsidRPr="006B431A" w:rsidRDefault="006B431A" w:rsidP="008F4E9D">
      <w:pPr>
        <w:shd w:val="clear" w:color="auto" w:fill="FFFFFF"/>
        <w:spacing w:before="120" w:after="360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Knapp gehalten waren die Aktien des Warenprüfkonzerns </w:t>
      </w:r>
      <w:hyperlink r:id="rId28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SGS Surveillance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, der seine Ziele bestätigt hat. Die Firma rechnet bis Jahresende nicht mit Gegenwind. In allen Berei</w:t>
      </w:r>
      <w:r w:rsidR="0025633D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chen und Regionen laufe es gut.</w:t>
      </w:r>
    </w:p>
    <w:sectPr w:rsidR="006B431A" w:rsidRPr="006B431A" w:rsidSect="0025633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076F"/>
    <w:multiLevelType w:val="multilevel"/>
    <w:tmpl w:val="9C7A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1A"/>
    <w:rsid w:val="00176D3E"/>
    <w:rsid w:val="0025633D"/>
    <w:rsid w:val="005A2961"/>
    <w:rsid w:val="0063430B"/>
    <w:rsid w:val="006B431A"/>
    <w:rsid w:val="00797C27"/>
    <w:rsid w:val="008F4E9D"/>
    <w:rsid w:val="0095102C"/>
    <w:rsid w:val="00B51B7D"/>
    <w:rsid w:val="00B875B5"/>
    <w:rsid w:val="00C35183"/>
    <w:rsid w:val="00D155A5"/>
    <w:rsid w:val="00D25AAC"/>
    <w:rsid w:val="00D3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13A82"/>
  <w15:docId w15:val="{61686055-61D2-4159-B0A6-F413844D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102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B431A"/>
    <w:rPr>
      <w:strike w:val="0"/>
      <w:dstrike w:val="0"/>
      <w:color w:val="B62A2F"/>
      <w:u w:val="none"/>
      <w:effect w:val="none"/>
    </w:rPr>
  </w:style>
  <w:style w:type="paragraph" w:customStyle="1" w:styleId="teaser1">
    <w:name w:val="teaser1"/>
    <w:basedOn w:val="Standard"/>
    <w:rsid w:val="006B431A"/>
    <w:pPr>
      <w:spacing w:before="100" w:beforeAutospacing="1" w:after="360" w:line="360" w:lineRule="atLeast"/>
    </w:pPr>
    <w:rPr>
      <w:rFonts w:ascii="Arial" w:eastAsia="Times New Roman" w:hAnsi="Arial" w:cs="Arial"/>
      <w:b/>
      <w:bCs/>
      <w:sz w:val="26"/>
      <w:szCs w:val="26"/>
      <w:lang w:eastAsia="de-CH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B43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B431A"/>
    <w:rPr>
      <w:rFonts w:ascii="Arial" w:eastAsia="Times New Roman" w:hAnsi="Arial" w:cs="Arial"/>
      <w:vanish/>
      <w:sz w:val="16"/>
      <w:szCs w:val="16"/>
      <w:lang w:eastAsia="de-CH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B43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B431A"/>
    <w:rPr>
      <w:rFonts w:ascii="Arial" w:eastAsia="Times New Roman" w:hAnsi="Arial" w:cs="Arial"/>
      <w:vanish/>
      <w:sz w:val="16"/>
      <w:szCs w:val="16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9861">
          <w:marLeft w:val="1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-net.ch/de/hidden.htm?url=detail/display.layout&amp;show=1&amp;inst=FIMS.1384101,380&amp;navi=shares&amp;view=traditionell&amp;_style=none&amp;up=none&amp;page=21&amp;navi=shares&amp;node=11" TargetMode="External"/><Relationship Id="rId13" Type="http://schemas.openxmlformats.org/officeDocument/2006/relationships/hyperlink" Target="https://www.trade-net.ch/secure/de/hidden.htm?url=detail/display.layout&amp;inst=FIMS.175230%2C4&amp;hl=fischer&amp;back=%2Fcgi-bin%2Fparse%2Fsearch%2Fdisplay.layout%3FSEARCH%3Dfischer%26MATCH%3Dsearch" TargetMode="External"/><Relationship Id="rId18" Type="http://schemas.openxmlformats.org/officeDocument/2006/relationships/hyperlink" Target="http://www.trade-net.ch/de/hidden.htm?url=detail/display.layout&amp;show=1&amp;inst=FIMS.1200526,380&amp;navi=shares&amp;view=traditionell&amp;_style=none&amp;up=none&amp;page=22&amp;navi=shares&amp;node=11" TargetMode="External"/><Relationship Id="rId26" Type="http://schemas.openxmlformats.org/officeDocument/2006/relationships/hyperlink" Target="http://www.trade-net.ch/de/hidden.htm?url=detail/display.layout&amp;show=1&amp;inst=FIMS.1107539,380&amp;navi=shares&amp;view=traditionell&amp;_style=none&amp;up=none&amp;page=23&amp;navi=shares&amp;node=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7" Type="http://schemas.openxmlformats.org/officeDocument/2006/relationships/hyperlink" Target="http://www.trade-net.ch/de/hidden.htm?url=detail/display.layout&amp;show=1&amp;inst=FIMS.998089,241&amp;navi=shares" TargetMode="External"/><Relationship Id="rId12" Type="http://schemas.openxmlformats.org/officeDocument/2006/relationships/hyperlink" Target="https://www.trade-net.ch/secure/de/hidden.htm?url=detail/display.layout&amp;inst=FIMS.367144%2C4&amp;hl=rieter&amp;back=%2Fcgi-bin%2Fparse%2Fsearch%2Fdisplay.layout%3FSEARCH%3Drieter%26MATCH%3Dsearch" TargetMode="External"/><Relationship Id="rId17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5" Type="http://schemas.openxmlformats.org/officeDocument/2006/relationships/hyperlink" Target="http://www.trade-net.ch/de/hidden.htm?url=detail/display.layout&amp;show=1&amp;inst=FIMS.1233237,380&amp;navi=shares&amp;view=traditionell&amp;_style=none&amp;up=none&amp;page=23&amp;navi=shares&amp;node=1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20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trade-net.ch/secure/de/hidden.htm?url=detail/display.layout&amp;inst=FIMS.998750%2C244&amp;hl=spi&amp;back=%2Fcgi-bin%2Fparse%2Fsearch%2Fdisplay.layout%3FSEARCH%3Dspi%26MATCH%3Dsearch" TargetMode="External"/><Relationship Id="rId11" Type="http://schemas.openxmlformats.org/officeDocument/2006/relationships/hyperlink" Target="http://www.trade-net.ch/de/hidden.htm?url=detail/display.layout&amp;inst=FIMS.237645%2C380&amp;hl=sulzer&amp;back=%2Fcgi-bin%2Fparse%2Fsearch%2Fdisplay.layout%3FSEARCH%3Dsulzer%26MATCH%3Dsearch" TargetMode="External"/><Relationship Id="rId24" Type="http://schemas.openxmlformats.org/officeDocument/2006/relationships/hyperlink" Target="http://www.trade-net.ch/de/hidden.htm?url=detail/display.layout&amp;show=1&amp;inst=FIMS.1203203,380&amp;navi=shares&amp;view=traditionell&amp;_style=none&amp;up=none&amp;page=23&amp;navi=shares&amp;node=11" TargetMode="External"/><Relationship Id="rId5" Type="http://schemas.openxmlformats.org/officeDocument/2006/relationships/hyperlink" Target="http://www.trade-net.ch/de/hidden.htm?url=detail/display.layout&amp;show=1&amp;inst=FIMS.998089,241&amp;navi=shares" TargetMode="External"/><Relationship Id="rId15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3" Type="http://schemas.openxmlformats.org/officeDocument/2006/relationships/hyperlink" Target="http://www.trade-net.ch/shares_detail.html?exch=VTX&amp;valor=1213853" TargetMode="External"/><Relationship Id="rId28" Type="http://schemas.openxmlformats.org/officeDocument/2006/relationships/hyperlink" Target="http://www.trade-net.ch/de/hidden.htm?url=detail/display.layout&amp;show=1&amp;inst=FIMS.249745,380&amp;navi=shares&amp;view=traditionell&amp;_style=none&amp;up=none&amp;page=23&amp;navi=shares&amp;node=11" TargetMode="External"/><Relationship Id="rId10" Type="http://schemas.openxmlformats.org/officeDocument/2006/relationships/hyperlink" Target="http://www.trade-net.ch/de/hidden.htm?url=detail/display.layout&amp;show=1&amp;inst=FIMS.1222171,380&amp;navi=shares&amp;view=traditionell&amp;_style=none&amp;up=none&amp;page=&amp;navi=shares&amp;node=11" TargetMode="External"/><Relationship Id="rId19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ade-net.ch/de/hidden.htm?url=detail/display.layout&amp;show=1&amp;inst=FIMS.1214263,380&amp;navi=shares&amp;view=traditionell&amp;_style=none&amp;up=none&amp;page=21&amp;navi=shares&amp;node=11" TargetMode="External"/><Relationship Id="rId14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22" Type="http://schemas.openxmlformats.org/officeDocument/2006/relationships/hyperlink" Target="http://www.trade-net.ch/de/hidden.htm?url=detail/display.layout&amp;show=1&amp;inst=FIMS.1200526,380&amp;navi=shares&amp;view=traditionell&amp;_style=none&amp;up=none&amp;page=22&amp;navi=shares&amp;node=11" TargetMode="External"/><Relationship Id="rId27" Type="http://schemas.openxmlformats.org/officeDocument/2006/relationships/hyperlink" Target="http://www.trade-net.ch/de/hidden.htm?url=detail/display.layout&amp;inst=FIMS.1485278%2C380&amp;hl=swiss+life&amp;back=%2Fcgi-bin%2Fparse%2Fsearch%2Fdisplay.layout%3FSEARCH%3Dswiss+life%26MATCH%3Dsearc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Hans-Rudolf Wenger</dc:creator>
  <cp:lastModifiedBy>Lippuner Jürg BZSL</cp:lastModifiedBy>
  <cp:revision>6</cp:revision>
  <dcterms:created xsi:type="dcterms:W3CDTF">2008-12-11T15:01:00Z</dcterms:created>
  <dcterms:modified xsi:type="dcterms:W3CDTF">2020-01-02T19:32:00Z</dcterms:modified>
</cp:coreProperties>
</file>