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05C99" w14:textId="453F695F" w:rsidR="00AA2FD4" w:rsidRDefault="008E6B7E">
      <w:r w:rsidRPr="008E6B7E">
        <w:t>Die Stützen der marokkanischen Volkswirtschaft sind die Landwirtschaft und der Bergbau; daneben wird an einem Aufbau (der Infrastruktur) der Fischindustrie gearbeitet. Von sehr großer Bedeutung ist die Phosphatgewinnung. Die zunehmende Verarbeitung der Rohphosphate in der eigenen Düngemittel- und Chemieindustrie steigert den Ausfuhrwert. Um die Industrialisierung auch in anderen Bereichen voranzutreiben, bemüht sich Marokko um die Ansiedlung ausländischer Investoren.</w:t>
      </w:r>
    </w:p>
    <w:sectPr w:rsidR="00AA2F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C84"/>
    <w:rsid w:val="008E6B7E"/>
    <w:rsid w:val="00AA2FD4"/>
    <w:rsid w:val="00FC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E6AB13C-A60D-4753-94F9-83F9ABAD6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408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Romagosa, Marcel</dc:creator>
  <cp:keywords/>
  <dc:description/>
  <cp:lastModifiedBy>Romagosa, Marcel</cp:lastModifiedBy>
  <cp:revision>2</cp:revision>
  <dcterms:created xsi:type="dcterms:W3CDTF">2022-01-10T16:39:00Z</dcterms:created>
  <dcterms:modified xsi:type="dcterms:W3CDTF">2022-01-10T16:40:00Z</dcterms:modified>
</cp:coreProperties>
</file>