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12C" w:rsidRPr="00D7047C" w:rsidRDefault="0083412C" w:rsidP="00D7047C">
      <w:pPr>
        <w:ind w:left="5103"/>
      </w:pPr>
      <w:bookmarkStart w:id="0" w:name="_GoBack"/>
      <w:bookmarkEnd w:id="0"/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Frau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Sabrina</w:t>
      </w:r>
      <w:r w:rsidRPr="004A1494">
        <w:t xml:space="preserve"> </w:t>
      </w:r>
      <w:r w:rsidRPr="002C63DD">
        <w:rPr>
          <w:noProof/>
        </w:rPr>
        <w:t>Bründler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Calandastrasse 16</w:t>
      </w:r>
    </w:p>
    <w:p w:rsidR="0083412C" w:rsidRDefault="0083412C" w:rsidP="00D7047C">
      <w:pPr>
        <w:ind w:left="5103"/>
      </w:pPr>
      <w:r w:rsidRPr="002C63DD">
        <w:rPr>
          <w:noProof/>
        </w:rPr>
        <w:t>7320</w:t>
      </w:r>
      <w:r w:rsidRPr="004A1494">
        <w:t xml:space="preserve"> </w:t>
      </w:r>
      <w:r w:rsidRPr="002C63DD">
        <w:rPr>
          <w:noProof/>
        </w:rPr>
        <w:t>Sargans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t xml:space="preserve"> </w:t>
      </w:r>
      <w:r w:rsidRPr="002C63DD">
        <w:rPr>
          <w:noProof/>
        </w:rPr>
        <w:t>Bründler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Frau</w:t>
      </w:r>
      <w:r w:rsidRPr="004A1494">
        <w:t xml:space="preserve"> </w:t>
      </w:r>
      <w:r w:rsidRPr="002C63DD">
        <w:rPr>
          <w:noProof/>
        </w:rPr>
        <w:t>Bründler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8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Herr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Stephan</w:t>
      </w:r>
      <w:r w:rsidRPr="004A1494">
        <w:t xml:space="preserve"> </w:t>
      </w:r>
      <w:r w:rsidRPr="002C63DD">
        <w:rPr>
          <w:noProof/>
        </w:rPr>
        <w:t>Bürkler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Malezweg 2B</w:t>
      </w:r>
    </w:p>
    <w:p w:rsidR="0083412C" w:rsidRDefault="0083412C" w:rsidP="00D7047C">
      <w:pPr>
        <w:ind w:left="5103"/>
      </w:pPr>
      <w:r w:rsidRPr="002C63DD">
        <w:rPr>
          <w:noProof/>
        </w:rPr>
        <w:t>7310</w:t>
      </w:r>
      <w:r w:rsidRPr="004A1494">
        <w:t xml:space="preserve"> </w:t>
      </w:r>
      <w:r w:rsidRPr="002C63DD">
        <w:rPr>
          <w:noProof/>
        </w:rPr>
        <w:t>Bad Ragaz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rPr>
          <w:noProof/>
          <w:lang w:val="de-CH"/>
        </w:rPr>
        <w:t>r</w:t>
      </w:r>
      <w:r>
        <w:t xml:space="preserve"> </w:t>
      </w:r>
      <w:r w:rsidRPr="002C63DD">
        <w:rPr>
          <w:noProof/>
        </w:rPr>
        <w:t>Bürkler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Herr</w:t>
      </w:r>
      <w:r w:rsidRPr="004A1494">
        <w:t xml:space="preserve"> </w:t>
      </w:r>
      <w:r w:rsidRPr="002C63DD">
        <w:rPr>
          <w:noProof/>
        </w:rPr>
        <w:t>Bürkler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9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Herr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Christoph</w:t>
      </w:r>
      <w:r w:rsidRPr="004A1494">
        <w:t xml:space="preserve"> </w:t>
      </w:r>
      <w:r w:rsidRPr="002C63DD">
        <w:rPr>
          <w:noProof/>
        </w:rPr>
        <w:t>Eggebrecht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Scadonsstrasse 3</w:t>
      </w:r>
    </w:p>
    <w:p w:rsidR="0083412C" w:rsidRDefault="0083412C" w:rsidP="00D7047C">
      <w:pPr>
        <w:ind w:left="5103"/>
      </w:pPr>
      <w:r w:rsidRPr="002C63DD">
        <w:rPr>
          <w:noProof/>
        </w:rPr>
        <w:t>7310</w:t>
      </w:r>
      <w:r w:rsidRPr="004A1494">
        <w:t xml:space="preserve"> </w:t>
      </w:r>
      <w:r w:rsidRPr="002C63DD">
        <w:rPr>
          <w:noProof/>
        </w:rPr>
        <w:t>Bad Ragaz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rPr>
          <w:noProof/>
          <w:lang w:val="de-CH"/>
        </w:rPr>
        <w:t>r</w:t>
      </w:r>
      <w:r>
        <w:t xml:space="preserve"> </w:t>
      </w:r>
      <w:r w:rsidRPr="002C63DD">
        <w:rPr>
          <w:noProof/>
        </w:rPr>
        <w:t>Eggebrecht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Herr</w:t>
      </w:r>
      <w:r w:rsidRPr="004A1494">
        <w:t xml:space="preserve"> </w:t>
      </w:r>
      <w:r w:rsidRPr="002C63DD">
        <w:rPr>
          <w:noProof/>
        </w:rPr>
        <w:t>Eggebrecht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10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Herr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Armend</w:t>
      </w:r>
      <w:r w:rsidRPr="004A1494">
        <w:t xml:space="preserve"> </w:t>
      </w:r>
      <w:r w:rsidRPr="002C63DD">
        <w:rPr>
          <w:noProof/>
        </w:rPr>
        <w:t>Koxhaxhiku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Ringstrasse 17</w:t>
      </w:r>
    </w:p>
    <w:p w:rsidR="0083412C" w:rsidRDefault="0083412C" w:rsidP="00D7047C">
      <w:pPr>
        <w:ind w:left="5103"/>
      </w:pPr>
      <w:r w:rsidRPr="002C63DD">
        <w:rPr>
          <w:noProof/>
        </w:rPr>
        <w:t>8887</w:t>
      </w:r>
      <w:r w:rsidRPr="004A1494">
        <w:t xml:space="preserve"> </w:t>
      </w:r>
      <w:r w:rsidRPr="002C63DD">
        <w:rPr>
          <w:noProof/>
        </w:rPr>
        <w:t>Mels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rPr>
          <w:noProof/>
          <w:lang w:val="de-CH"/>
        </w:rPr>
        <w:t>r</w:t>
      </w:r>
      <w:r>
        <w:t xml:space="preserve"> </w:t>
      </w:r>
      <w:r w:rsidRPr="002C63DD">
        <w:rPr>
          <w:noProof/>
        </w:rPr>
        <w:t>Koxhaxhiku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Herr</w:t>
      </w:r>
      <w:r w:rsidRPr="004A1494">
        <w:t xml:space="preserve"> </w:t>
      </w:r>
      <w:r w:rsidRPr="002C63DD">
        <w:rPr>
          <w:noProof/>
        </w:rPr>
        <w:t>Koxhaxhiku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11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Herr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Zoran</w:t>
      </w:r>
      <w:r w:rsidRPr="004A1494">
        <w:t xml:space="preserve"> </w:t>
      </w:r>
      <w:r w:rsidRPr="002C63DD">
        <w:rPr>
          <w:noProof/>
        </w:rPr>
        <w:t>Novakovic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Pizolstrasse 21</w:t>
      </w:r>
    </w:p>
    <w:p w:rsidR="0083412C" w:rsidRDefault="0083412C" w:rsidP="00D7047C">
      <w:pPr>
        <w:ind w:left="5103"/>
      </w:pPr>
      <w:r w:rsidRPr="002C63DD">
        <w:rPr>
          <w:noProof/>
        </w:rPr>
        <w:t>7310</w:t>
      </w:r>
      <w:r w:rsidRPr="004A1494">
        <w:t xml:space="preserve"> </w:t>
      </w:r>
      <w:r w:rsidRPr="002C63DD">
        <w:rPr>
          <w:noProof/>
        </w:rPr>
        <w:t>Bad Ragaz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rPr>
          <w:noProof/>
          <w:lang w:val="de-CH"/>
        </w:rPr>
        <w:t>r</w:t>
      </w:r>
      <w:r>
        <w:t xml:space="preserve"> </w:t>
      </w:r>
      <w:r w:rsidRPr="002C63DD">
        <w:rPr>
          <w:noProof/>
        </w:rPr>
        <w:t>Novakovic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Herr</w:t>
      </w:r>
      <w:r w:rsidRPr="004A1494">
        <w:t xml:space="preserve"> </w:t>
      </w:r>
      <w:r w:rsidRPr="002C63DD">
        <w:rPr>
          <w:noProof/>
        </w:rPr>
        <w:t>Novakovic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12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Frau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Corina</w:t>
      </w:r>
      <w:r w:rsidRPr="004A1494">
        <w:t xml:space="preserve"> </w:t>
      </w:r>
      <w:r w:rsidRPr="002C63DD">
        <w:rPr>
          <w:noProof/>
        </w:rPr>
        <w:t>Pfiffner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Täliweg 32</w:t>
      </w:r>
    </w:p>
    <w:p w:rsidR="0083412C" w:rsidRDefault="0083412C" w:rsidP="00D7047C">
      <w:pPr>
        <w:ind w:left="5103"/>
      </w:pPr>
      <w:r w:rsidRPr="002C63DD">
        <w:rPr>
          <w:noProof/>
        </w:rPr>
        <w:t>8887</w:t>
      </w:r>
      <w:r w:rsidRPr="004A1494">
        <w:t xml:space="preserve"> </w:t>
      </w:r>
      <w:r w:rsidRPr="002C63DD">
        <w:rPr>
          <w:noProof/>
        </w:rPr>
        <w:t>Mels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t xml:space="preserve"> </w:t>
      </w:r>
      <w:r w:rsidRPr="002C63DD">
        <w:rPr>
          <w:noProof/>
        </w:rPr>
        <w:t>Pfiffner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Frau</w:t>
      </w:r>
      <w:r w:rsidRPr="004A1494">
        <w:t xml:space="preserve"> </w:t>
      </w:r>
      <w:r w:rsidRPr="002C63DD">
        <w:rPr>
          <w:noProof/>
        </w:rPr>
        <w:t>Pfiffner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13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Frau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Silvia</w:t>
      </w:r>
      <w:r w:rsidRPr="004A1494">
        <w:t xml:space="preserve"> </w:t>
      </w:r>
      <w:r w:rsidRPr="002C63DD">
        <w:rPr>
          <w:noProof/>
        </w:rPr>
        <w:t>Reinero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Markthallenstrasse 12</w:t>
      </w:r>
    </w:p>
    <w:p w:rsidR="0083412C" w:rsidRDefault="0083412C" w:rsidP="00D7047C">
      <w:pPr>
        <w:ind w:left="5103"/>
      </w:pPr>
      <w:r w:rsidRPr="002C63DD">
        <w:rPr>
          <w:noProof/>
        </w:rPr>
        <w:t>7320</w:t>
      </w:r>
      <w:r w:rsidRPr="004A1494">
        <w:t xml:space="preserve"> </w:t>
      </w:r>
      <w:r w:rsidRPr="002C63DD">
        <w:rPr>
          <w:noProof/>
        </w:rPr>
        <w:t>Sargans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t xml:space="preserve"> </w:t>
      </w:r>
      <w:r w:rsidRPr="002C63DD">
        <w:rPr>
          <w:noProof/>
        </w:rPr>
        <w:t>Reinero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Frau</w:t>
      </w:r>
      <w:r w:rsidRPr="004A1494">
        <w:t xml:space="preserve"> </w:t>
      </w:r>
      <w:r w:rsidRPr="002C63DD">
        <w:rPr>
          <w:noProof/>
        </w:rPr>
        <w:t>Reinero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14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Herr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Leandro</w:t>
      </w:r>
      <w:r w:rsidRPr="004A1494">
        <w:t xml:space="preserve"> </w:t>
      </w:r>
      <w:r w:rsidRPr="002C63DD">
        <w:rPr>
          <w:noProof/>
        </w:rPr>
        <w:t>Rupp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Amselweg 19</w:t>
      </w:r>
    </w:p>
    <w:p w:rsidR="0083412C" w:rsidRDefault="0083412C" w:rsidP="00D7047C">
      <w:pPr>
        <w:ind w:left="5103"/>
      </w:pPr>
      <w:r w:rsidRPr="002C63DD">
        <w:rPr>
          <w:noProof/>
        </w:rPr>
        <w:t>8887</w:t>
      </w:r>
      <w:r w:rsidRPr="004A1494">
        <w:t xml:space="preserve"> </w:t>
      </w:r>
      <w:r w:rsidRPr="002C63DD">
        <w:rPr>
          <w:noProof/>
        </w:rPr>
        <w:t>Mels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rPr>
          <w:noProof/>
          <w:lang w:val="de-CH"/>
        </w:rPr>
        <w:t>r</w:t>
      </w:r>
      <w:r>
        <w:t xml:space="preserve"> </w:t>
      </w:r>
      <w:r w:rsidRPr="002C63DD">
        <w:rPr>
          <w:noProof/>
        </w:rPr>
        <w:t>Rupp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Herr</w:t>
      </w:r>
      <w:r w:rsidRPr="004A1494">
        <w:t xml:space="preserve"> </w:t>
      </w:r>
      <w:r w:rsidRPr="002C63DD">
        <w:rPr>
          <w:noProof/>
        </w:rPr>
        <w:t>Rupp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15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D7047C" w:rsidRDefault="0083412C" w:rsidP="00D7047C">
      <w:pPr>
        <w:ind w:left="5103"/>
      </w:pPr>
    </w:p>
    <w:p w:rsidR="0083412C" w:rsidRPr="004A1494" w:rsidRDefault="0083412C" w:rsidP="00D7047C">
      <w:pPr>
        <w:ind w:left="5103"/>
      </w:pPr>
      <w:r>
        <w:rPr>
          <w:noProof/>
        </w:rPr>
        <w:t>Frau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Samira</w:t>
      </w:r>
      <w:r w:rsidRPr="004A1494">
        <w:t xml:space="preserve"> </w:t>
      </w:r>
      <w:r w:rsidRPr="002C63DD">
        <w:rPr>
          <w:noProof/>
        </w:rPr>
        <w:t>Tschuor</w:t>
      </w:r>
    </w:p>
    <w:p w:rsidR="0083412C" w:rsidRPr="004A1494" w:rsidRDefault="0083412C" w:rsidP="00D7047C">
      <w:pPr>
        <w:ind w:left="5103"/>
      </w:pPr>
      <w:r w:rsidRPr="002C63DD">
        <w:rPr>
          <w:noProof/>
        </w:rPr>
        <w:t>Leginglenstrasse 19</w:t>
      </w:r>
    </w:p>
    <w:p w:rsidR="0083412C" w:rsidRDefault="0083412C" w:rsidP="00D7047C">
      <w:pPr>
        <w:ind w:left="5103"/>
      </w:pPr>
      <w:r w:rsidRPr="002C63DD">
        <w:rPr>
          <w:noProof/>
        </w:rPr>
        <w:t>7320</w:t>
      </w:r>
      <w:r w:rsidRPr="004A1494">
        <w:t xml:space="preserve"> </w:t>
      </w:r>
      <w:r w:rsidRPr="002C63DD">
        <w:rPr>
          <w:noProof/>
        </w:rPr>
        <w:t>Sargans</w:t>
      </w: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Default="0083412C" w:rsidP="00D7047C">
      <w:pPr>
        <w:ind w:left="5103"/>
      </w:pPr>
    </w:p>
    <w:p w:rsidR="0083412C" w:rsidRPr="004A1494" w:rsidRDefault="0083412C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>
        <w:rPr>
          <w:noProof/>
          <w:lang w:val="de-CH"/>
        </w:rPr>
        <w:t>6. Januar 2015</w:t>
      </w:r>
      <w:r w:rsidRPr="00D7047C">
        <w:fldChar w:fldCharType="end"/>
      </w:r>
    </w:p>
    <w:p w:rsidR="0083412C" w:rsidRDefault="0083412C" w:rsidP="00D7047C"/>
    <w:p w:rsidR="0083412C" w:rsidRDefault="0083412C" w:rsidP="00D7047C"/>
    <w:p w:rsidR="0083412C" w:rsidRDefault="0083412C" w:rsidP="00D7047C"/>
    <w:p w:rsidR="0083412C" w:rsidRPr="00806EE8" w:rsidRDefault="0083412C" w:rsidP="00C52696">
      <w:pPr>
        <w:rPr>
          <w:b/>
        </w:rPr>
      </w:pPr>
      <w:r w:rsidRPr="00806EE8">
        <w:rPr>
          <w:b/>
        </w:rPr>
        <w:t>Landangebote</w:t>
      </w:r>
    </w:p>
    <w:p w:rsidR="0083412C" w:rsidRPr="00D7047C" w:rsidRDefault="0083412C" w:rsidP="00D7047C"/>
    <w:p w:rsidR="0083412C" w:rsidRPr="00D7047C" w:rsidRDefault="0083412C" w:rsidP="00D7047C"/>
    <w:p w:rsidR="0083412C" w:rsidRPr="00D7047C" w:rsidRDefault="0083412C" w:rsidP="00D7047C">
      <w:r w:rsidRPr="00D7047C">
        <w:t>Sehr geehrte</w:t>
      </w:r>
      <w:r>
        <w:t xml:space="preserve"> </w:t>
      </w:r>
      <w:r w:rsidRPr="002C63DD">
        <w:rPr>
          <w:noProof/>
        </w:rPr>
        <w:t>Tschuor</w:t>
      </w:r>
    </w:p>
    <w:p w:rsidR="0083412C" w:rsidRPr="00D7047C" w:rsidRDefault="0083412C" w:rsidP="00D7047C"/>
    <w:p w:rsidR="0083412C" w:rsidRPr="00D7047C" w:rsidRDefault="0083412C" w:rsidP="00D7047C">
      <w:r w:rsidRPr="00D7047C">
        <w:t>Bei Ihrem letzten Besuch in unserem Geschäft haben Sie sich für einen Landkauf im Süden interessiert. Wir teilen Ihnen die aktuellen Preise der noch offen stehenden Ländereien mit.</w:t>
      </w:r>
    </w:p>
    <w:p w:rsidR="0083412C" w:rsidRPr="00D7047C" w:rsidRDefault="0083412C" w:rsidP="00D7047C"/>
    <w:p w:rsidR="0083412C" w:rsidRPr="00806EE8" w:rsidRDefault="0083412C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83412C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83412C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83412C" w:rsidRPr="004A1494" w:rsidRDefault="0083412C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83412C" w:rsidRPr="00D7047C" w:rsidRDefault="0083412C" w:rsidP="00D7047C"/>
    <w:p w:rsidR="0083412C" w:rsidRPr="00D7047C" w:rsidRDefault="0083412C" w:rsidP="00D7047C">
      <w:r w:rsidRPr="00D7047C">
        <w:t>Dabei sind folgende Punkte zu berücksichtigen:</w:t>
      </w:r>
    </w:p>
    <w:p w:rsidR="0083412C" w:rsidRPr="00D7047C" w:rsidRDefault="0083412C" w:rsidP="00D7047C"/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83412C" w:rsidRPr="00D7047C" w:rsidRDefault="0083412C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83412C" w:rsidRPr="00D7047C" w:rsidRDefault="0083412C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83412C" w:rsidRPr="00D7047C" w:rsidRDefault="0083412C" w:rsidP="00D7047C"/>
    <w:p w:rsidR="0083412C" w:rsidRPr="00D7047C" w:rsidRDefault="0083412C" w:rsidP="00D7047C">
      <w:r w:rsidRPr="004A1494">
        <w:t xml:space="preserve">Sind Sie </w:t>
      </w:r>
      <w:r>
        <w:rPr>
          <w:noProof/>
        </w:rPr>
        <w:t>Frau</w:t>
      </w:r>
      <w:r w:rsidRPr="004A1494">
        <w:t xml:space="preserve"> </w:t>
      </w:r>
      <w:r w:rsidRPr="002C63DD">
        <w:rPr>
          <w:noProof/>
        </w:rPr>
        <w:t>Tschuor</w:t>
      </w:r>
      <w:r w:rsidRPr="004A1494">
        <w:t xml:space="preserve"> an einem unserer Grundstücke interessiert, so kontak</w:t>
      </w:r>
      <w:r w:rsidRPr="00D7047C">
        <w:t>tieren Sie uns unt</w:t>
      </w:r>
      <w:r>
        <w:t>er der Telefonnummer 081 756 65 </w:t>
      </w:r>
      <w:r w:rsidRPr="00D7047C">
        <w:t>45.</w:t>
      </w:r>
    </w:p>
    <w:p w:rsidR="0083412C" w:rsidRPr="00D7047C" w:rsidRDefault="0083412C" w:rsidP="00D7047C"/>
    <w:p w:rsidR="0083412C" w:rsidRPr="00D7047C" w:rsidRDefault="0083412C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</w:pPr>
    </w:p>
    <w:p w:rsidR="0083412C" w:rsidRDefault="0083412C" w:rsidP="00D7047C">
      <w:pPr>
        <w:ind w:left="5103"/>
        <w:rPr>
          <w:noProof/>
          <w:lang w:val="de-CH"/>
        </w:rPr>
        <w:sectPr w:rsidR="0083412C" w:rsidSect="0083412C">
          <w:footerReference w:type="default" r:id="rId16"/>
          <w:pgSz w:w="11906" w:h="16838"/>
          <w:pgMar w:top="1701" w:right="1134" w:bottom="1134" w:left="1701" w:header="720" w:footer="720" w:gutter="0"/>
          <w:pgNumType w:start="1"/>
          <w:cols w:space="720"/>
        </w:sectPr>
      </w:pPr>
    </w:p>
    <w:p w:rsidR="0083412C" w:rsidRPr="00D7047C" w:rsidRDefault="0083412C" w:rsidP="00D7047C">
      <w:pPr>
        <w:ind w:left="5103"/>
        <w:rPr>
          <w:noProof/>
          <w:lang w:val="de-CH"/>
        </w:rPr>
      </w:pPr>
    </w:p>
    <w:sectPr w:rsidR="0083412C" w:rsidRPr="00D7047C" w:rsidSect="0083412C">
      <w:footerReference w:type="default" r:id="rId17"/>
      <w:type w:val="continuous"/>
      <w:pgSz w:w="11906" w:h="16838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1CC" w:rsidRDefault="007B21CC" w:rsidP="000D5DF5">
      <w:pPr>
        <w:spacing w:line="240" w:lineRule="auto"/>
      </w:pPr>
      <w:r>
        <w:separator/>
      </w:r>
    </w:p>
  </w:endnote>
  <w:endnote w:type="continuationSeparator" w:id="0">
    <w:p w:rsidR="007B21CC" w:rsidRDefault="007B21CC" w:rsidP="000D5D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DF5" w:rsidRPr="000D5DF5" w:rsidRDefault="000D5DF5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12C" w:rsidRPr="000D5DF5" w:rsidRDefault="0083412C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1CC" w:rsidRDefault="007B21CC" w:rsidP="000D5DF5">
      <w:pPr>
        <w:spacing w:line="240" w:lineRule="auto"/>
      </w:pPr>
      <w:r>
        <w:separator/>
      </w:r>
    </w:p>
  </w:footnote>
  <w:footnote w:type="continuationSeparator" w:id="0">
    <w:p w:rsidR="007B21CC" w:rsidRDefault="007B21CC" w:rsidP="000D5D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40828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A410D25"/>
    <w:multiLevelType w:val="multilevel"/>
    <w:tmpl w:val="01C6822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A7"/>
    <w:rsid w:val="000D5DF5"/>
    <w:rsid w:val="00275669"/>
    <w:rsid w:val="004041A7"/>
    <w:rsid w:val="00455E40"/>
    <w:rsid w:val="004A1494"/>
    <w:rsid w:val="004C5DE6"/>
    <w:rsid w:val="007B21CC"/>
    <w:rsid w:val="0083412C"/>
    <w:rsid w:val="009E473B"/>
    <w:rsid w:val="00C373C9"/>
    <w:rsid w:val="00C52696"/>
    <w:rsid w:val="00D7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1F2E1BA-A1A8-4700-8BDC-BD75E973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047C"/>
    <w:pPr>
      <w:spacing w:line="288" w:lineRule="auto"/>
    </w:pPr>
    <w:rPr>
      <w:rFonts w:asciiTheme="minorHAnsi" w:hAnsiTheme="minorHAnsi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D7047C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D5DF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DF5"/>
    <w:rPr>
      <w:rFonts w:asciiTheme="minorHAnsi" w:hAnsiTheme="minorHAnsi"/>
      <w:sz w:val="24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2696"/>
    <w:pPr>
      <w:numPr>
        <w:ilvl w:val="1"/>
      </w:numPr>
      <w:spacing w:after="160"/>
    </w:pPr>
    <w:rPr>
      <w:rFonts w:eastAsiaTheme="minorEastAsia" w:cstheme="minorBidi"/>
      <w:b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2696"/>
    <w:rPr>
      <w:rFonts w:asciiTheme="minorHAnsi" w:eastAsiaTheme="minorEastAsia" w:hAnsiTheme="minorHAnsi" w:cstheme="minorBidi"/>
      <w:b/>
      <w:sz w:val="24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KBW_2011.xsl" StyleName="AE und SA – KBW 2011"/>
</file>

<file path=customXml/itemProps1.xml><?xml version="1.0" encoding="utf-8"?>
<ds:datastoreItem xmlns:ds="http://schemas.openxmlformats.org/officeDocument/2006/customXml" ds:itemID="{453A430D-9138-4563-A2A6-849ACFC1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1480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Sonntag, 14</vt:lpstr>
    </vt:vector>
  </TitlesOfParts>
  <Company>BZB</Company>
  <LinksUpToDate>false</LinksUpToDate>
  <CharactersWithSpaces>10789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Sonntag, 14</dc:title>
  <dc:creator>Jürg Lippuner</dc:creator>
  <cp:lastModifiedBy>Jürg Lippuner</cp:lastModifiedBy>
  <cp:revision>1</cp:revision>
  <dcterms:created xsi:type="dcterms:W3CDTF">2015-01-06T15:41:00Z</dcterms:created>
  <dcterms:modified xsi:type="dcterms:W3CDTF">2015-01-06T15:43:00Z</dcterms:modified>
</cp:coreProperties>
</file>