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4A5" w:rsidRPr="004E1571" w:rsidRDefault="004E1571" w:rsidP="00E53C85">
      <w:pPr>
        <w:pStyle w:val="Titel"/>
        <w:rPr>
          <w:lang w:val="de-CH"/>
        </w:rPr>
      </w:pPr>
      <w:r w:rsidRPr="004E1571">
        <w:rPr>
          <w:lang w:val="de-CH"/>
        </w:rPr>
        <w:t>Einzüge</w:t>
      </w:r>
      <w:r w:rsidRPr="004E1571">
        <w:rPr>
          <w:noProof/>
          <w:lang w:val="de-CH" w:eastAsia="de-CH"/>
        </w:rPr>
        <w:t xml:space="preserve"> </w:t>
      </w:r>
      <w:r w:rsidR="00E53C85" w:rsidRPr="004E1571">
        <w:rPr>
          <w:noProof/>
          <w:lang w:val="de-CH" w:eastAsia="de-CH"/>
        </w:rPr>
        <w:drawing>
          <wp:anchor distT="0" distB="0" distL="114300" distR="114300" simplePos="0" relativeHeight="251658240" behindDoc="0" locked="0" layoutInCell="1" allowOverlap="1" wp14:anchorId="5867D676" wp14:editId="229B5279">
            <wp:simplePos x="0" y="0"/>
            <wp:positionH relativeFrom="column">
              <wp:posOffset>5323205</wp:posOffset>
            </wp:positionH>
            <wp:positionV relativeFrom="paragraph">
              <wp:posOffset>-397510</wp:posOffset>
            </wp:positionV>
            <wp:extent cx="627380" cy="572770"/>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sti.png"/>
                    <pic:cNvPicPr/>
                  </pic:nvPicPr>
                  <pic:blipFill>
                    <a:blip r:embed="rId5">
                      <a:extLst>
                        <a:ext uri="{28A0092B-C50C-407E-A947-70E740481C1C}">
                          <a14:useLocalDpi xmlns:a14="http://schemas.microsoft.com/office/drawing/2010/main" val="0"/>
                        </a:ext>
                      </a:extLst>
                    </a:blip>
                    <a:stretch>
                      <a:fillRect/>
                    </a:stretch>
                  </pic:blipFill>
                  <pic:spPr>
                    <a:xfrm>
                      <a:off x="0" y="0"/>
                      <a:ext cx="627380" cy="572770"/>
                    </a:xfrm>
                    <a:prstGeom prst="rect">
                      <a:avLst/>
                    </a:prstGeom>
                  </pic:spPr>
                </pic:pic>
              </a:graphicData>
            </a:graphic>
          </wp:anchor>
        </w:drawing>
      </w:r>
      <w:r w:rsidR="00D10E83" w:rsidRPr="004E1571">
        <w:rPr>
          <w:lang w:val="de-CH"/>
        </w:rPr>
        <w:t>Übung 2</w:t>
      </w:r>
    </w:p>
    <w:p w:rsidR="006774A5" w:rsidRPr="006D2D3C" w:rsidRDefault="004E1571" w:rsidP="006D2D3C">
      <w:pPr>
        <w:tabs>
          <w:tab w:val="right" w:pos="9498"/>
        </w:tabs>
        <w:ind w:left="1418" w:right="-1" w:hanging="1418"/>
        <w:rPr>
          <w:rFonts w:cs="Segoe UI"/>
          <w:color w:val="5F497A" w:themeColor="accent4" w:themeShade="BF"/>
          <w:sz w:val="28"/>
          <w:lang w:val="de-CH"/>
        </w:rPr>
      </w:pPr>
      <w:r w:rsidRPr="006D2D3C">
        <w:rPr>
          <w:rFonts w:cs="Segoe UI"/>
          <w:b/>
          <w:color w:val="5F497A" w:themeColor="accent4" w:themeShade="BF"/>
          <w:sz w:val="28"/>
          <w:lang w:val="de-CH"/>
        </w:rPr>
        <w:t>Aufgabe</w:t>
      </w:r>
      <w:r w:rsidRPr="006D2D3C">
        <w:rPr>
          <w:rFonts w:cs="Segoe UI"/>
          <w:color w:val="5F497A" w:themeColor="accent4" w:themeShade="BF"/>
          <w:sz w:val="28"/>
          <w:lang w:val="de-CH"/>
        </w:rPr>
        <w:tab/>
        <w:t>Formati</w:t>
      </w:r>
      <w:bookmarkStart w:id="0" w:name="_GoBack"/>
      <w:bookmarkEnd w:id="0"/>
      <w:r w:rsidRPr="006D2D3C">
        <w:rPr>
          <w:rFonts w:cs="Segoe UI"/>
          <w:color w:val="5F497A" w:themeColor="accent4" w:themeShade="BF"/>
          <w:sz w:val="28"/>
          <w:lang w:val="de-CH"/>
        </w:rPr>
        <w:t>eren (</w:t>
      </w:r>
      <w:r w:rsidRPr="006D2D3C">
        <w:rPr>
          <w:rFonts w:cs="Segoe UI"/>
          <w:color w:val="5F497A" w:themeColor="accent4" w:themeShade="BF"/>
          <w:sz w:val="28"/>
          <w:lang w:val="de-CH"/>
        </w:rPr>
        <w:t>Einz</w:t>
      </w:r>
      <w:r w:rsidRPr="006D2D3C">
        <w:rPr>
          <w:rFonts w:cs="Segoe UI"/>
          <w:color w:val="5F497A" w:themeColor="accent4" w:themeShade="BF"/>
          <w:sz w:val="28"/>
          <w:lang w:val="de-CH"/>
        </w:rPr>
        <w:t>ug</w:t>
      </w:r>
      <w:r w:rsidRPr="006D2D3C">
        <w:rPr>
          <w:rFonts w:cs="Segoe UI"/>
          <w:color w:val="5F497A" w:themeColor="accent4" w:themeShade="BF"/>
          <w:sz w:val="28"/>
          <w:lang w:val="de-CH"/>
        </w:rPr>
        <w:t xml:space="preserve"> und Ausrichtung</w:t>
      </w:r>
      <w:r w:rsidRPr="006D2D3C">
        <w:rPr>
          <w:rFonts w:cs="Segoe UI"/>
          <w:color w:val="5F497A" w:themeColor="accent4" w:themeShade="BF"/>
          <w:sz w:val="28"/>
          <w:lang w:val="de-CH"/>
        </w:rPr>
        <w:t>) Sie die roten Textteile so, dass sie dem Muster (in Blau) entsprechen.</w:t>
      </w:r>
    </w:p>
    <w:p w:rsidR="006774A5" w:rsidRPr="004E1571" w:rsidRDefault="006774A5" w:rsidP="004E1571">
      <w:pPr>
        <w:ind w:right="-1"/>
        <w:rPr>
          <w:b/>
          <w:lang w:val="de-CH"/>
        </w:rPr>
      </w:pPr>
    </w:p>
    <w:p w:rsidR="006774A5" w:rsidRPr="004E1571" w:rsidRDefault="00D10E83">
      <w:pPr>
        <w:ind w:right="-1"/>
        <w:rPr>
          <w:color w:val="FF0000"/>
          <w:lang w:val="de-CH"/>
        </w:rPr>
      </w:pPr>
      <w:r w:rsidRPr="004E1571">
        <w:rPr>
          <w:b/>
          <w:color w:val="FF0000"/>
          <w:lang w:val="de-CH"/>
        </w:rPr>
        <w:t>Sequentielle Speicher</w:t>
      </w:r>
      <w:r w:rsidR="009A2640" w:rsidRPr="004E1571">
        <w:rPr>
          <w:color w:val="FF0000"/>
          <w:lang w:val="de-CH"/>
        </w:rPr>
        <w:t xml:space="preserve">: </w:t>
      </w:r>
      <w:r w:rsidRPr="004E1571">
        <w:rPr>
          <w:color w:val="FF0000"/>
          <w:lang w:val="de-CH"/>
        </w:rPr>
        <w:t>Die abzuspeichernden Datensätze werden sequentiell nacheinander eingetragen; der Platz wird dabei maximal ausgenützt (Bsp. Check-Liste)</w:t>
      </w:r>
    </w:p>
    <w:p w:rsidR="006774A5" w:rsidRPr="004E1571" w:rsidRDefault="006774A5">
      <w:pPr>
        <w:tabs>
          <w:tab w:val="left" w:pos="1560"/>
          <w:tab w:val="left" w:pos="5104"/>
        </w:tabs>
        <w:rPr>
          <w:b/>
          <w:u w:val="single"/>
          <w:lang w:val="de-CH"/>
        </w:rPr>
      </w:pPr>
    </w:p>
    <w:p w:rsidR="006774A5" w:rsidRPr="004E1571" w:rsidRDefault="00D10E83" w:rsidP="004E1571">
      <w:pPr>
        <w:shd w:val="clear" w:color="auto" w:fill="DAEEF3" w:themeFill="accent5" w:themeFillTint="33"/>
        <w:ind w:left="1134" w:right="2834"/>
        <w:jc w:val="center"/>
        <w:rPr>
          <w:color w:val="1F497D" w:themeColor="text2"/>
          <w:lang w:val="de-CH"/>
        </w:rPr>
      </w:pPr>
      <w:r w:rsidRPr="004E1571">
        <w:rPr>
          <w:b/>
          <w:color w:val="1F497D" w:themeColor="text2"/>
          <w:lang w:val="de-CH"/>
        </w:rPr>
        <w:t>Sequentielle Speicher</w:t>
      </w:r>
      <w:r w:rsidRPr="004E1571">
        <w:rPr>
          <w:color w:val="1F497D" w:themeColor="text2"/>
          <w:lang w:val="de-CH"/>
        </w:rPr>
        <w:t>: Die abzuspeichernden Datensätze werden sequentiell nacheinander eingetragen; der Platz wird dabei maximal ausgenützt (</w:t>
      </w:r>
      <w:r w:rsidR="004E1571">
        <w:rPr>
          <w:color w:val="1F497D" w:themeColor="text2"/>
          <w:lang w:val="de-CH"/>
        </w:rPr>
        <w:t>z.</w:t>
      </w:r>
      <w:r w:rsidR="004E1571">
        <w:rPr>
          <w:rFonts w:ascii="Arial" w:hAnsi="Arial" w:cs="Arial"/>
          <w:color w:val="1F497D" w:themeColor="text2"/>
          <w:lang w:val="de-CH"/>
        </w:rPr>
        <w:t> B.</w:t>
      </w:r>
      <w:r w:rsidRPr="004E1571">
        <w:rPr>
          <w:color w:val="1F497D" w:themeColor="text2"/>
          <w:lang w:val="de-CH"/>
        </w:rPr>
        <w:t xml:space="preserve"> Check-Liste)</w:t>
      </w:r>
    </w:p>
    <w:p w:rsidR="006774A5" w:rsidRPr="004E1571" w:rsidRDefault="006774A5">
      <w:pPr>
        <w:tabs>
          <w:tab w:val="left" w:pos="1560"/>
          <w:tab w:val="left" w:pos="5104"/>
        </w:tabs>
        <w:rPr>
          <w:b/>
          <w:u w:val="single"/>
          <w:lang w:val="de-CH"/>
        </w:rPr>
      </w:pPr>
    </w:p>
    <w:p w:rsidR="006774A5" w:rsidRPr="004E1571" w:rsidRDefault="00D10E83">
      <w:pPr>
        <w:rPr>
          <w:color w:val="FF0000"/>
          <w:lang w:val="de-CH"/>
        </w:rPr>
      </w:pPr>
      <w:r w:rsidRPr="004E1571">
        <w:rPr>
          <w:b/>
          <w:color w:val="FF0000"/>
          <w:lang w:val="de-CH"/>
        </w:rPr>
        <w:t>Adressierbare Speicher</w:t>
      </w:r>
      <w:r w:rsidRPr="004E1571">
        <w:rPr>
          <w:color w:val="FF0000"/>
          <w:lang w:val="de-CH"/>
        </w:rPr>
        <w:tab/>
        <w:t>Die abzuspeichernden Datensätze werden gemäss einem Schlüsselbegriff an reservierte Stellen versorgt, (vorläufig nicht benützte Speicherplätze bleiben offen (</w:t>
      </w:r>
      <w:r w:rsidR="004E1571">
        <w:rPr>
          <w:color w:val="FF0000"/>
          <w:lang w:val="de-CH"/>
        </w:rPr>
        <w:t>z.</w:t>
      </w:r>
      <w:r w:rsidR="004E1571">
        <w:rPr>
          <w:rFonts w:ascii="Arial" w:hAnsi="Arial" w:cs="Arial"/>
          <w:color w:val="FF0000"/>
          <w:lang w:val="de-CH"/>
        </w:rPr>
        <w:t> B</w:t>
      </w:r>
      <w:r w:rsidRPr="004E1571">
        <w:rPr>
          <w:color w:val="FF0000"/>
          <w:lang w:val="de-CH"/>
        </w:rPr>
        <w:t>. Taschenkalender)</w:t>
      </w:r>
    </w:p>
    <w:p w:rsidR="006774A5" w:rsidRPr="004E1571" w:rsidRDefault="006774A5">
      <w:pPr>
        <w:rPr>
          <w:lang w:val="de-CH"/>
        </w:rPr>
      </w:pPr>
    </w:p>
    <w:p w:rsidR="006774A5" w:rsidRPr="004E1571" w:rsidRDefault="00D10E83" w:rsidP="004E1571">
      <w:pPr>
        <w:shd w:val="clear" w:color="auto" w:fill="DAEEF3" w:themeFill="accent5" w:themeFillTint="33"/>
        <w:ind w:left="2835" w:hanging="2835"/>
        <w:rPr>
          <w:color w:val="1F497D" w:themeColor="text2"/>
          <w:lang w:val="de-CH"/>
        </w:rPr>
      </w:pPr>
      <w:r w:rsidRPr="004E1571">
        <w:rPr>
          <w:b/>
          <w:color w:val="1F497D" w:themeColor="text2"/>
          <w:lang w:val="de-CH"/>
        </w:rPr>
        <w:t>Adressierbare Speicher</w:t>
      </w:r>
      <w:r w:rsidRPr="004E1571">
        <w:rPr>
          <w:color w:val="1F497D" w:themeColor="text2"/>
          <w:lang w:val="de-CH"/>
        </w:rPr>
        <w:tab/>
        <w:t>Die abzuspeichernden Datensätze werden gemäss einem Schlüsselbegriff an reservierte Stellen versorgt, (vorläufig nicht benützte Speicherplätze bleiben offen (Bsp. Taschenkalender)</w:t>
      </w:r>
    </w:p>
    <w:p w:rsidR="006774A5" w:rsidRPr="004E1571" w:rsidRDefault="006774A5">
      <w:pPr>
        <w:rPr>
          <w:lang w:val="de-CH"/>
        </w:rPr>
      </w:pPr>
    </w:p>
    <w:p w:rsidR="006774A5" w:rsidRPr="004E1571" w:rsidRDefault="00D10E83">
      <w:pPr>
        <w:ind w:right="-1"/>
        <w:rPr>
          <w:color w:val="FF0000"/>
          <w:lang w:val="de-CH"/>
        </w:rPr>
      </w:pPr>
      <w:r w:rsidRPr="004E1571">
        <w:rPr>
          <w:b/>
          <w:color w:val="FF0000"/>
          <w:lang w:val="de-CH"/>
        </w:rPr>
        <w:t>Indexsequentielle</w:t>
      </w:r>
      <w:r w:rsidRPr="004E1571">
        <w:rPr>
          <w:color w:val="FF0000"/>
          <w:lang w:val="de-CH"/>
        </w:rPr>
        <w:t xml:space="preserve"> </w:t>
      </w:r>
      <w:r w:rsidRPr="004E1571">
        <w:rPr>
          <w:b/>
          <w:color w:val="FF0000"/>
          <w:lang w:val="de-CH"/>
        </w:rPr>
        <w:t>Methode</w:t>
      </w:r>
      <w:r w:rsidRPr="004E1571">
        <w:rPr>
          <w:color w:val="FF0000"/>
          <w:lang w:val="de-CH"/>
        </w:rPr>
        <w:t xml:space="preserve"> Diese Methode vermeidet Lücken in der Da</w:t>
      </w:r>
      <w:r w:rsidR="002F2088" w:rsidRPr="004E1571">
        <w:rPr>
          <w:color w:val="FF0000"/>
          <w:lang w:val="de-CH"/>
        </w:rPr>
        <w:t>t</w:t>
      </w:r>
      <w:r w:rsidRPr="004E1571">
        <w:rPr>
          <w:color w:val="FF0000"/>
          <w:lang w:val="de-CH"/>
        </w:rPr>
        <w:t xml:space="preserve">ei. Zusätzlich zu der sequentiellen Anordnung der Daten wird noch ein Inhaltsverzeichnis, </w:t>
      </w:r>
      <w:r w:rsidRPr="004E1571">
        <w:rPr>
          <w:i/>
          <w:color w:val="FF0000"/>
          <w:lang w:val="de-CH"/>
        </w:rPr>
        <w:t>Indextabelle</w:t>
      </w:r>
      <w:r w:rsidRPr="004E1571">
        <w:rPr>
          <w:color w:val="FF0000"/>
          <w:lang w:val="de-CH"/>
        </w:rPr>
        <w:t>, abgespeichert. Die Indextabelle enthält den Schlüsselwert und die Adresse, wo der entsprechende Datenblock (der zu interessierende Datenteil) steckt.</w:t>
      </w:r>
    </w:p>
    <w:p w:rsidR="006774A5" w:rsidRPr="004E1571" w:rsidRDefault="006774A5">
      <w:pPr>
        <w:tabs>
          <w:tab w:val="left" w:pos="1560"/>
          <w:tab w:val="left" w:pos="5104"/>
        </w:tabs>
        <w:rPr>
          <w:b/>
          <w:u w:val="single"/>
          <w:lang w:val="de-CH"/>
        </w:rPr>
      </w:pPr>
    </w:p>
    <w:p w:rsidR="006774A5" w:rsidRPr="004E1571" w:rsidRDefault="00D10E83" w:rsidP="004E1571">
      <w:pPr>
        <w:shd w:val="clear" w:color="auto" w:fill="DAEEF3" w:themeFill="accent5" w:themeFillTint="33"/>
        <w:ind w:right="-1" w:firstLine="1134"/>
        <w:rPr>
          <w:color w:val="1F497D" w:themeColor="text2"/>
          <w:lang w:val="de-CH"/>
        </w:rPr>
      </w:pPr>
      <w:r w:rsidRPr="004E1571">
        <w:rPr>
          <w:b/>
          <w:color w:val="1F497D" w:themeColor="text2"/>
          <w:lang w:val="de-CH"/>
        </w:rPr>
        <w:t>Indexsequentielle</w:t>
      </w:r>
      <w:r w:rsidRPr="004E1571">
        <w:rPr>
          <w:color w:val="1F497D" w:themeColor="text2"/>
          <w:lang w:val="de-CH"/>
        </w:rPr>
        <w:t xml:space="preserve"> </w:t>
      </w:r>
      <w:r w:rsidRPr="004E1571">
        <w:rPr>
          <w:b/>
          <w:color w:val="1F497D" w:themeColor="text2"/>
          <w:lang w:val="de-CH"/>
        </w:rPr>
        <w:t>Methode</w:t>
      </w:r>
      <w:r w:rsidRPr="004E1571">
        <w:rPr>
          <w:color w:val="1F497D" w:themeColor="text2"/>
          <w:lang w:val="de-CH"/>
        </w:rPr>
        <w:t xml:space="preserve"> Diese Methode vermeidet Lücken in der Da</w:t>
      </w:r>
      <w:r w:rsidR="002F2088" w:rsidRPr="004E1571">
        <w:rPr>
          <w:color w:val="1F497D" w:themeColor="text2"/>
          <w:lang w:val="de-CH"/>
        </w:rPr>
        <w:t>t</w:t>
      </w:r>
      <w:r w:rsidRPr="004E1571">
        <w:rPr>
          <w:color w:val="1F497D" w:themeColor="text2"/>
          <w:lang w:val="de-CH"/>
        </w:rPr>
        <w:t xml:space="preserve">ei. Zusätzlich zu der sequentiellen Anordnung der Daten wird noch ein Inhaltsverzeichnis, </w:t>
      </w:r>
      <w:r w:rsidRPr="004E1571">
        <w:rPr>
          <w:i/>
          <w:color w:val="1F497D" w:themeColor="text2"/>
          <w:lang w:val="de-CH"/>
        </w:rPr>
        <w:t>Indextabelle</w:t>
      </w:r>
      <w:r w:rsidRPr="004E1571">
        <w:rPr>
          <w:color w:val="1F497D" w:themeColor="text2"/>
          <w:lang w:val="de-CH"/>
        </w:rPr>
        <w:t>, abgespeichert. Die Indextabelle enthält den Schlüsselwert und die Adresse, wo der entsprechende Datenblock (der zu interessierende Datenteil) steckt.</w:t>
      </w:r>
    </w:p>
    <w:p w:rsidR="006774A5" w:rsidRPr="004E1571" w:rsidRDefault="006774A5">
      <w:pPr>
        <w:tabs>
          <w:tab w:val="left" w:pos="1560"/>
          <w:tab w:val="left" w:pos="5104"/>
        </w:tabs>
        <w:rPr>
          <w:b/>
          <w:u w:val="single"/>
          <w:lang w:val="de-CH"/>
        </w:rPr>
      </w:pPr>
    </w:p>
    <w:p w:rsidR="006774A5" w:rsidRPr="004E1571" w:rsidRDefault="00D10E83">
      <w:pPr>
        <w:rPr>
          <w:color w:val="FF0000"/>
          <w:lang w:val="de-CH"/>
        </w:rPr>
      </w:pPr>
      <w:r w:rsidRPr="004E1571">
        <w:rPr>
          <w:b/>
          <w:color w:val="FF0000"/>
          <w:lang w:val="de-CH"/>
        </w:rPr>
        <w:t>Was ist SQL?</w:t>
      </w:r>
      <w:r w:rsidRPr="004E1571">
        <w:rPr>
          <w:b/>
          <w:color w:val="FF0000"/>
          <w:lang w:val="de-CH"/>
        </w:rPr>
        <w:tab/>
      </w:r>
      <w:r w:rsidRPr="004E1571">
        <w:rPr>
          <w:color w:val="FF0000"/>
          <w:lang w:val="de-CH"/>
        </w:rPr>
        <w:t>SQL hat sich im breiten Masse als strukturierte Abfragesprache durchgesetzt. Typischerweise wird SQL für die Realisierung von Abfragen, für die Gestaltung von Datenaktualisierungen und für weitere organisatorische Datenbankaufgaben eingesetzt, wobei SQL eng mit dem relationalen Datenbankmodell und damit der Datenorganisation in Form von Tabellen verbunden ist.</w:t>
      </w:r>
    </w:p>
    <w:p w:rsidR="006774A5" w:rsidRPr="004E1571" w:rsidRDefault="006774A5">
      <w:pPr>
        <w:rPr>
          <w:lang w:val="de-CH"/>
        </w:rPr>
      </w:pPr>
    </w:p>
    <w:p w:rsidR="006774A5" w:rsidRPr="004E1571" w:rsidRDefault="00D10E83" w:rsidP="004E1571">
      <w:pPr>
        <w:shd w:val="clear" w:color="auto" w:fill="DAEEF3" w:themeFill="accent5" w:themeFillTint="33"/>
        <w:ind w:left="2268" w:right="1133" w:hanging="1701"/>
        <w:jc w:val="both"/>
        <w:rPr>
          <w:color w:val="1F497D" w:themeColor="text2"/>
          <w:lang w:val="de-CH"/>
        </w:rPr>
      </w:pPr>
      <w:r w:rsidRPr="004E1571">
        <w:rPr>
          <w:b/>
          <w:color w:val="1F497D" w:themeColor="text2"/>
          <w:lang w:val="de-CH"/>
        </w:rPr>
        <w:t>Was ist SQL?</w:t>
      </w:r>
      <w:r w:rsidRPr="004E1571">
        <w:rPr>
          <w:b/>
          <w:color w:val="1F497D" w:themeColor="text2"/>
          <w:lang w:val="de-CH"/>
        </w:rPr>
        <w:tab/>
      </w:r>
      <w:r w:rsidRPr="004E1571">
        <w:rPr>
          <w:color w:val="1F497D" w:themeColor="text2"/>
          <w:lang w:val="de-CH"/>
        </w:rPr>
        <w:t xml:space="preserve">SQL hat sich im breiten Masse als strukturierte Abfragesprache durchgesetzt. Typischerweise wird SQL für </w:t>
      </w:r>
      <w:r w:rsidRPr="004E1571">
        <w:rPr>
          <w:color w:val="1F497D" w:themeColor="text2"/>
          <w:lang w:val="de-CH"/>
        </w:rPr>
        <w:lastRenderedPageBreak/>
        <w:t>die Realisierung von Abfragen, für die Gestaltung von Datenaktualisierungen und für weitere organisatorische Datenbankaufgaben eingesetzt, wobei SQL eng mit dem relationalen Datenbankmodell und damit der Datenorganisation in Form von Tabellen verbunden ist.</w:t>
      </w:r>
    </w:p>
    <w:p w:rsidR="006774A5" w:rsidRPr="004E1571" w:rsidRDefault="006774A5">
      <w:pPr>
        <w:rPr>
          <w:lang w:val="de-CH"/>
        </w:rPr>
      </w:pPr>
    </w:p>
    <w:p w:rsidR="006774A5" w:rsidRPr="004E1571" w:rsidRDefault="00D10E83">
      <w:pPr>
        <w:ind w:right="-1"/>
        <w:rPr>
          <w:color w:val="FF0000"/>
          <w:lang w:val="de-CH"/>
        </w:rPr>
      </w:pPr>
      <w:r w:rsidRPr="004E1571">
        <w:rPr>
          <w:color w:val="FF0000"/>
          <w:lang w:val="de-CH"/>
        </w:rPr>
        <w:t>In Access: In Access müssen Sie dank der interaktiven Oberfläche (Entwurfsfenster) nicht eine Zeile SQL schreiben und benötigen somit auch kein SQL-Wissen. Aber den Kennern von SQL steht innerhalb einer Abfrage jederzeit der Code zur Verfügung.</w:t>
      </w:r>
    </w:p>
    <w:p w:rsidR="006774A5" w:rsidRPr="004E1571" w:rsidRDefault="006774A5">
      <w:pPr>
        <w:ind w:right="-1"/>
        <w:rPr>
          <w:lang w:val="de-CH"/>
        </w:rPr>
      </w:pPr>
    </w:p>
    <w:p w:rsidR="006774A5" w:rsidRPr="004E1571" w:rsidRDefault="00D10E83" w:rsidP="004E1571">
      <w:pPr>
        <w:shd w:val="clear" w:color="auto" w:fill="DAEEF3" w:themeFill="accent5" w:themeFillTint="33"/>
        <w:ind w:right="2692"/>
        <w:jc w:val="right"/>
        <w:rPr>
          <w:color w:val="1F497D" w:themeColor="text2"/>
          <w:lang w:val="de-CH"/>
        </w:rPr>
      </w:pPr>
      <w:r w:rsidRPr="004E1571">
        <w:rPr>
          <w:color w:val="1F497D" w:themeColor="text2"/>
          <w:lang w:val="de-CH"/>
        </w:rPr>
        <w:t>In Access: In Access müssen Sie dank der interaktiven Oberfläche (Entwurfsfenster) nicht eine Zeile SQL schreiben und benötigen somit auch kein SQL-Wissen. Aber den Kennern von SQL steht innerhalb einer Abfrage jederzeit der Code zur Verfügung.</w:t>
      </w:r>
    </w:p>
    <w:p w:rsidR="006774A5" w:rsidRPr="004E1571" w:rsidRDefault="006774A5">
      <w:pPr>
        <w:rPr>
          <w:lang w:val="de-CH"/>
        </w:rPr>
      </w:pPr>
    </w:p>
    <w:p w:rsidR="006774A5" w:rsidRPr="004E1571" w:rsidRDefault="00D10E83">
      <w:pPr>
        <w:rPr>
          <w:color w:val="FF0000"/>
          <w:lang w:val="de-CH"/>
        </w:rPr>
      </w:pPr>
      <w:r w:rsidRPr="004E1571">
        <w:rPr>
          <w:color w:val="FF0000"/>
          <w:lang w:val="de-CH"/>
        </w:rPr>
        <w:t>Wenn Sie im Abfragefenster eine Abfrage erstellen, konstruiert Microsoft Access im Hintergrund die entsprechende SQL-Anweisung.</w:t>
      </w:r>
    </w:p>
    <w:p w:rsidR="006774A5" w:rsidRPr="004E1571" w:rsidRDefault="00D10E83">
      <w:pPr>
        <w:rPr>
          <w:color w:val="FF0000"/>
          <w:lang w:val="de-CH"/>
        </w:rPr>
      </w:pPr>
      <w:r w:rsidRPr="004E1571">
        <w:rPr>
          <w:color w:val="FF0000"/>
          <w:lang w:val="de-CH"/>
        </w:rPr>
        <w:t xml:space="preserve">Zum Anzeigen oder Bearbeiten der SQL-Anweisung wählen Sie im Abfragefenster den Befehl </w:t>
      </w:r>
      <w:r w:rsidRPr="004E1571">
        <w:rPr>
          <w:b/>
          <w:color w:val="FF0000"/>
          <w:lang w:val="de-CH"/>
        </w:rPr>
        <w:t>SQL</w:t>
      </w:r>
      <w:r w:rsidRPr="004E1571">
        <w:rPr>
          <w:color w:val="FF0000"/>
          <w:lang w:val="de-CH"/>
        </w:rPr>
        <w:t xml:space="preserve"> aus dem Menü </w:t>
      </w:r>
      <w:r w:rsidRPr="004E1571">
        <w:rPr>
          <w:b/>
          <w:color w:val="FF0000"/>
          <w:lang w:val="de-CH"/>
        </w:rPr>
        <w:t>Ansicht</w:t>
      </w:r>
      <w:r w:rsidRPr="004E1571">
        <w:rPr>
          <w:color w:val="FF0000"/>
          <w:lang w:val="de-CH"/>
        </w:rPr>
        <w:t>.</w:t>
      </w:r>
    </w:p>
    <w:p w:rsidR="006774A5" w:rsidRPr="004E1571" w:rsidRDefault="00D10E83">
      <w:pPr>
        <w:rPr>
          <w:color w:val="FF0000"/>
          <w:lang w:val="de-CH"/>
        </w:rPr>
      </w:pPr>
      <w:r w:rsidRPr="004E1571">
        <w:rPr>
          <w:color w:val="FF0000"/>
          <w:lang w:val="de-CH"/>
        </w:rPr>
        <w:t>Nach dem Durchführen von Änderungen an einer SQL-Anweisung wird die Abfrage automatisch im Abfragefenster aktualisiert. Sie können SQL-Anweisungen an vielen Stellen in Microsoft Access verwenden, wo Sie den Namen einer Tabelle, einer Abfrage oder eines Feldes eingeben können.</w:t>
      </w:r>
    </w:p>
    <w:p w:rsidR="006774A5" w:rsidRPr="004E1571" w:rsidRDefault="00D10E83">
      <w:pPr>
        <w:rPr>
          <w:color w:val="FF0000"/>
          <w:lang w:val="de-CH"/>
        </w:rPr>
      </w:pPr>
      <w:r w:rsidRPr="004E1571">
        <w:rPr>
          <w:color w:val="FF0000"/>
          <w:lang w:val="de-CH"/>
        </w:rPr>
        <w:t xml:space="preserve">Sie können </w:t>
      </w:r>
      <w:r w:rsidR="002F2088" w:rsidRPr="004E1571">
        <w:rPr>
          <w:color w:val="FF0000"/>
          <w:lang w:val="de-CH"/>
        </w:rPr>
        <w:t>z. B.</w:t>
      </w:r>
      <w:r w:rsidRPr="004E1571">
        <w:rPr>
          <w:color w:val="FF0000"/>
          <w:lang w:val="de-CH"/>
        </w:rPr>
        <w:t xml:space="preserve"> eine SQL-Anweisung als Einstellung für die Eigenschaft </w:t>
      </w:r>
      <w:r w:rsidR="004E1571">
        <w:rPr>
          <w:color w:val="FF0000"/>
          <w:lang w:val="de-CH"/>
        </w:rPr>
        <w:t>«</w:t>
      </w:r>
      <w:r w:rsidRPr="004E1571">
        <w:rPr>
          <w:color w:val="FF0000"/>
          <w:lang w:val="de-CH"/>
        </w:rPr>
        <w:t>Datenherkunft</w:t>
      </w:r>
      <w:r w:rsidR="004E1571">
        <w:rPr>
          <w:color w:val="FF0000"/>
          <w:lang w:val="de-CH"/>
        </w:rPr>
        <w:t>»</w:t>
      </w:r>
      <w:r w:rsidRPr="004E1571">
        <w:rPr>
          <w:color w:val="FF0000"/>
          <w:lang w:val="de-CH"/>
        </w:rPr>
        <w:t xml:space="preserve"> (</w:t>
      </w:r>
      <w:proofErr w:type="spellStart"/>
      <w:r w:rsidRPr="004E1571">
        <w:rPr>
          <w:color w:val="FF0000"/>
          <w:lang w:val="de-CH"/>
        </w:rPr>
        <w:t>RecordSource</w:t>
      </w:r>
      <w:proofErr w:type="spellEnd"/>
      <w:r w:rsidRPr="004E1571">
        <w:rPr>
          <w:color w:val="FF0000"/>
          <w:lang w:val="de-CH"/>
        </w:rPr>
        <w:t>) für ein Listenfeld eingeben, das eine Liste von Elementen erzeugt.</w:t>
      </w:r>
    </w:p>
    <w:p w:rsidR="006774A5" w:rsidRPr="004E1571" w:rsidRDefault="00D10E83">
      <w:pPr>
        <w:rPr>
          <w:b/>
          <w:color w:val="FF0000"/>
          <w:lang w:val="de-CH"/>
        </w:rPr>
      </w:pPr>
      <w:r w:rsidRPr="004E1571">
        <w:rPr>
          <w:color w:val="FF0000"/>
          <w:lang w:val="de-CH"/>
        </w:rPr>
        <w:t>Sie können eine SQL-Anweisung auch zum Einstellen</w:t>
      </w:r>
      <w:r w:rsidR="004E1571">
        <w:rPr>
          <w:color w:val="FF0000"/>
          <w:lang w:val="de-CH"/>
        </w:rPr>
        <w:t xml:space="preserve"> der Eigenschaft «Datenherkunft»</w:t>
      </w:r>
      <w:r w:rsidRPr="004E1571">
        <w:rPr>
          <w:color w:val="FF0000"/>
          <w:lang w:val="de-CH"/>
        </w:rPr>
        <w:t xml:space="preserve"> (</w:t>
      </w:r>
      <w:proofErr w:type="spellStart"/>
      <w:r w:rsidRPr="004E1571">
        <w:rPr>
          <w:color w:val="FF0000"/>
          <w:lang w:val="de-CH"/>
        </w:rPr>
        <w:t>RecordSource</w:t>
      </w:r>
      <w:proofErr w:type="spellEnd"/>
      <w:r w:rsidRPr="004E1571">
        <w:rPr>
          <w:color w:val="FF0000"/>
          <w:lang w:val="de-CH"/>
        </w:rPr>
        <w:t xml:space="preserve">) für ein Formular oder einen Bericht oder in einem Access Basic-Modul zum Erstellen eines </w:t>
      </w:r>
      <w:proofErr w:type="spellStart"/>
      <w:r w:rsidRPr="004E1571">
        <w:rPr>
          <w:color w:val="FF0000"/>
          <w:lang w:val="de-CH"/>
        </w:rPr>
        <w:t>Dynaset</w:t>
      </w:r>
      <w:proofErr w:type="spellEnd"/>
      <w:r w:rsidRPr="004E1571">
        <w:rPr>
          <w:color w:val="FF0000"/>
          <w:lang w:val="de-CH"/>
        </w:rPr>
        <w:t xml:space="preserve"> oder Snapshot verwenden.</w:t>
      </w:r>
    </w:p>
    <w:p w:rsidR="006774A5" w:rsidRPr="004E1571" w:rsidRDefault="006774A5">
      <w:pPr>
        <w:rPr>
          <w:b/>
          <w:lang w:val="de-CH"/>
        </w:rPr>
      </w:pPr>
    </w:p>
    <w:p w:rsidR="006774A5" w:rsidRPr="004E1571" w:rsidRDefault="00D10E83" w:rsidP="004E1571">
      <w:pPr>
        <w:shd w:val="clear" w:color="auto" w:fill="DAEEF3" w:themeFill="accent5" w:themeFillTint="33"/>
        <w:ind w:left="567" w:right="566" w:firstLine="567"/>
        <w:jc w:val="both"/>
        <w:rPr>
          <w:color w:val="1F497D" w:themeColor="text2"/>
          <w:lang w:val="de-CH"/>
        </w:rPr>
      </w:pPr>
      <w:r w:rsidRPr="004E1571">
        <w:rPr>
          <w:color w:val="1F497D" w:themeColor="text2"/>
          <w:lang w:val="de-CH"/>
        </w:rPr>
        <w:t>Wenn Sie im Abfragefenster eine Abfrage erstellen, konstruiert Microsoft Access im Hintergrund die entsprechende SQL-Anweisung.</w:t>
      </w:r>
    </w:p>
    <w:p w:rsidR="006774A5" w:rsidRPr="004E1571" w:rsidRDefault="00D10E83" w:rsidP="004E1571">
      <w:pPr>
        <w:shd w:val="clear" w:color="auto" w:fill="DAEEF3" w:themeFill="accent5" w:themeFillTint="33"/>
        <w:ind w:left="567" w:right="566" w:firstLine="567"/>
        <w:jc w:val="both"/>
        <w:rPr>
          <w:color w:val="1F497D" w:themeColor="text2"/>
          <w:lang w:val="de-CH"/>
        </w:rPr>
      </w:pPr>
      <w:r w:rsidRPr="004E1571">
        <w:rPr>
          <w:color w:val="1F497D" w:themeColor="text2"/>
          <w:lang w:val="de-CH"/>
        </w:rPr>
        <w:t xml:space="preserve">Zum Anzeigen oder Bearbeiten der SQL-Anweisung wählen Sie im Abfragefenster den Befehl </w:t>
      </w:r>
      <w:r w:rsidRPr="004E1571">
        <w:rPr>
          <w:b/>
          <w:color w:val="1F497D" w:themeColor="text2"/>
          <w:lang w:val="de-CH"/>
        </w:rPr>
        <w:t>SQL</w:t>
      </w:r>
      <w:r w:rsidRPr="004E1571">
        <w:rPr>
          <w:color w:val="1F497D" w:themeColor="text2"/>
          <w:lang w:val="de-CH"/>
        </w:rPr>
        <w:t xml:space="preserve"> aus dem Menü </w:t>
      </w:r>
      <w:r w:rsidRPr="004E1571">
        <w:rPr>
          <w:b/>
          <w:color w:val="1F497D" w:themeColor="text2"/>
          <w:lang w:val="de-CH"/>
        </w:rPr>
        <w:t>Ansicht</w:t>
      </w:r>
      <w:r w:rsidRPr="004E1571">
        <w:rPr>
          <w:color w:val="1F497D" w:themeColor="text2"/>
          <w:lang w:val="de-CH"/>
        </w:rPr>
        <w:t>.</w:t>
      </w:r>
    </w:p>
    <w:p w:rsidR="006774A5" w:rsidRPr="004E1571" w:rsidRDefault="00D10E83" w:rsidP="004E1571">
      <w:pPr>
        <w:shd w:val="clear" w:color="auto" w:fill="DAEEF3" w:themeFill="accent5" w:themeFillTint="33"/>
        <w:ind w:left="567" w:right="566" w:firstLine="567"/>
        <w:jc w:val="both"/>
        <w:rPr>
          <w:color w:val="1F497D" w:themeColor="text2"/>
          <w:lang w:val="de-CH"/>
        </w:rPr>
      </w:pPr>
      <w:r w:rsidRPr="004E1571">
        <w:rPr>
          <w:color w:val="1F497D" w:themeColor="text2"/>
          <w:lang w:val="de-CH"/>
        </w:rPr>
        <w:t>Nach dem Durchführen von Änderungen an einer SQL-Anweisung wird die Abfrage automatisch im Abfragefenster aktualisiert. Sie können SQL-Anweisungen an vielen Stellen in Microsoft Access verwenden, wo Sie den Namen einer Tabelle, einer Abfrage oder eines Feldes eingeben können.</w:t>
      </w:r>
    </w:p>
    <w:p w:rsidR="006774A5" w:rsidRPr="004E1571" w:rsidRDefault="00D10E83" w:rsidP="004E1571">
      <w:pPr>
        <w:shd w:val="clear" w:color="auto" w:fill="DAEEF3" w:themeFill="accent5" w:themeFillTint="33"/>
        <w:ind w:left="567" w:right="566" w:firstLine="567"/>
        <w:jc w:val="both"/>
        <w:rPr>
          <w:color w:val="1F497D" w:themeColor="text2"/>
          <w:lang w:val="de-CH"/>
        </w:rPr>
      </w:pPr>
      <w:r w:rsidRPr="004E1571">
        <w:rPr>
          <w:color w:val="1F497D" w:themeColor="text2"/>
          <w:lang w:val="de-CH"/>
        </w:rPr>
        <w:t xml:space="preserve">Sie können </w:t>
      </w:r>
      <w:r w:rsidR="002F2088" w:rsidRPr="004E1571">
        <w:rPr>
          <w:color w:val="1F497D" w:themeColor="text2"/>
          <w:lang w:val="de-CH"/>
        </w:rPr>
        <w:t>z. B.</w:t>
      </w:r>
      <w:r w:rsidRPr="004E1571">
        <w:rPr>
          <w:color w:val="1F497D" w:themeColor="text2"/>
          <w:lang w:val="de-CH"/>
        </w:rPr>
        <w:t xml:space="preserve"> eine SQL-Anweisung als Einstellung für die Eigenschaft </w:t>
      </w:r>
      <w:r w:rsidR="004E1571">
        <w:rPr>
          <w:color w:val="1F497D" w:themeColor="text2"/>
          <w:lang w:val="de-CH"/>
        </w:rPr>
        <w:t>«</w:t>
      </w:r>
      <w:r w:rsidRPr="004E1571">
        <w:rPr>
          <w:color w:val="1F497D" w:themeColor="text2"/>
          <w:lang w:val="de-CH"/>
        </w:rPr>
        <w:t>Datenherkunft</w:t>
      </w:r>
      <w:r w:rsidR="004E1571">
        <w:rPr>
          <w:color w:val="1F497D" w:themeColor="text2"/>
          <w:lang w:val="de-CH"/>
        </w:rPr>
        <w:t>»</w:t>
      </w:r>
      <w:r w:rsidRPr="004E1571">
        <w:rPr>
          <w:color w:val="1F497D" w:themeColor="text2"/>
          <w:lang w:val="de-CH"/>
        </w:rPr>
        <w:t xml:space="preserve"> (</w:t>
      </w:r>
      <w:proofErr w:type="spellStart"/>
      <w:r w:rsidRPr="004E1571">
        <w:rPr>
          <w:color w:val="1F497D" w:themeColor="text2"/>
          <w:lang w:val="de-CH"/>
        </w:rPr>
        <w:t>RecordSource</w:t>
      </w:r>
      <w:proofErr w:type="spellEnd"/>
      <w:r w:rsidRPr="004E1571">
        <w:rPr>
          <w:color w:val="1F497D" w:themeColor="text2"/>
          <w:lang w:val="de-CH"/>
        </w:rPr>
        <w:t>) für ein Listenfeld eingeben, das eine Liste von Elementen erzeugt.</w:t>
      </w:r>
    </w:p>
    <w:p w:rsidR="006774A5" w:rsidRPr="004E1571" w:rsidRDefault="00D10E83" w:rsidP="004E1571">
      <w:pPr>
        <w:shd w:val="clear" w:color="auto" w:fill="DAEEF3" w:themeFill="accent5" w:themeFillTint="33"/>
        <w:ind w:left="567" w:right="566" w:firstLine="567"/>
        <w:jc w:val="both"/>
        <w:rPr>
          <w:b/>
          <w:color w:val="1F497D" w:themeColor="text2"/>
          <w:lang w:val="de-CH"/>
        </w:rPr>
      </w:pPr>
      <w:r w:rsidRPr="004E1571">
        <w:rPr>
          <w:color w:val="1F497D" w:themeColor="text2"/>
          <w:lang w:val="de-CH"/>
        </w:rPr>
        <w:lastRenderedPageBreak/>
        <w:t xml:space="preserve">Sie können eine SQL-Anweisung auch </w:t>
      </w:r>
      <w:r w:rsidR="004E1571">
        <w:rPr>
          <w:color w:val="1F497D" w:themeColor="text2"/>
          <w:lang w:val="de-CH"/>
        </w:rPr>
        <w:t>zum Einstellen der Eigenschaft «</w:t>
      </w:r>
      <w:r w:rsidRPr="004E1571">
        <w:rPr>
          <w:color w:val="1F497D" w:themeColor="text2"/>
          <w:lang w:val="de-CH"/>
        </w:rPr>
        <w:t>Datenherkunft</w:t>
      </w:r>
      <w:r w:rsidR="004E1571">
        <w:rPr>
          <w:color w:val="1F497D" w:themeColor="text2"/>
          <w:lang w:val="de-CH"/>
        </w:rPr>
        <w:t>»</w:t>
      </w:r>
      <w:r w:rsidRPr="004E1571">
        <w:rPr>
          <w:color w:val="1F497D" w:themeColor="text2"/>
          <w:lang w:val="de-CH"/>
        </w:rPr>
        <w:t xml:space="preserve"> (</w:t>
      </w:r>
      <w:proofErr w:type="spellStart"/>
      <w:r w:rsidRPr="004E1571">
        <w:rPr>
          <w:color w:val="1F497D" w:themeColor="text2"/>
          <w:lang w:val="de-CH"/>
        </w:rPr>
        <w:t>RecordSource</w:t>
      </w:r>
      <w:proofErr w:type="spellEnd"/>
      <w:r w:rsidRPr="004E1571">
        <w:rPr>
          <w:color w:val="1F497D" w:themeColor="text2"/>
          <w:lang w:val="de-CH"/>
        </w:rPr>
        <w:t xml:space="preserve">) für ein Formular oder einen Bericht oder in einem Access Basic-Modul zum Erstellen eines </w:t>
      </w:r>
      <w:proofErr w:type="spellStart"/>
      <w:r w:rsidRPr="004E1571">
        <w:rPr>
          <w:color w:val="1F497D" w:themeColor="text2"/>
          <w:lang w:val="de-CH"/>
        </w:rPr>
        <w:t>Dynaset</w:t>
      </w:r>
      <w:proofErr w:type="spellEnd"/>
      <w:r w:rsidRPr="004E1571">
        <w:rPr>
          <w:color w:val="1F497D" w:themeColor="text2"/>
          <w:lang w:val="de-CH"/>
        </w:rPr>
        <w:t xml:space="preserve"> oder Snapshot verwenden.</w:t>
      </w:r>
    </w:p>
    <w:p w:rsidR="006774A5" w:rsidRPr="004E1571" w:rsidRDefault="006774A5">
      <w:pPr>
        <w:rPr>
          <w:b/>
          <w:lang w:val="de-CH"/>
        </w:rPr>
      </w:pPr>
    </w:p>
    <w:p w:rsidR="006774A5" w:rsidRPr="004E1571" w:rsidRDefault="00D10E83">
      <w:pPr>
        <w:ind w:right="-1"/>
        <w:rPr>
          <w:b/>
          <w:color w:val="FF0000"/>
          <w:lang w:val="de-CH"/>
        </w:rPr>
      </w:pPr>
      <w:r w:rsidRPr="004E1571">
        <w:rPr>
          <w:b/>
          <w:color w:val="FF0000"/>
          <w:lang w:val="de-CH"/>
        </w:rPr>
        <w:t>Ziele</w:t>
      </w:r>
    </w:p>
    <w:p w:rsidR="006774A5" w:rsidRPr="004E1571" w:rsidRDefault="00D10E83">
      <w:pPr>
        <w:ind w:right="-1"/>
        <w:rPr>
          <w:color w:val="FF0000"/>
          <w:lang w:val="de-CH"/>
        </w:rPr>
      </w:pPr>
      <w:r w:rsidRPr="004E1571">
        <w:rPr>
          <w:color w:val="FF0000"/>
          <w:lang w:val="de-CH"/>
        </w:rPr>
        <w:t>loslösen von den sturen Wettkampfformen</w:t>
      </w:r>
    </w:p>
    <w:p w:rsidR="006774A5" w:rsidRPr="004E1571" w:rsidRDefault="00D10E83">
      <w:pPr>
        <w:ind w:right="-1"/>
        <w:rPr>
          <w:color w:val="FF0000"/>
          <w:lang w:val="de-CH"/>
        </w:rPr>
      </w:pPr>
      <w:r w:rsidRPr="004E1571">
        <w:rPr>
          <w:color w:val="FF0000"/>
          <w:lang w:val="de-CH"/>
        </w:rPr>
        <w:t>kämpfen als natürliche Ausdrucksweise des Menschen in spielerischer Form</w:t>
      </w:r>
    </w:p>
    <w:p w:rsidR="006774A5" w:rsidRPr="004E1571" w:rsidRDefault="00D10E83">
      <w:pPr>
        <w:ind w:right="-1"/>
        <w:rPr>
          <w:color w:val="FF0000"/>
          <w:lang w:val="de-CH"/>
        </w:rPr>
      </w:pPr>
      <w:r w:rsidRPr="004E1571">
        <w:rPr>
          <w:color w:val="FF0000"/>
          <w:lang w:val="de-CH"/>
        </w:rPr>
        <w:t>auch: Motivation, um in einen Ring</w:t>
      </w:r>
      <w:r w:rsidR="002F2088" w:rsidRPr="004E1571">
        <w:rPr>
          <w:color w:val="FF0000"/>
          <w:lang w:val="de-CH"/>
        </w:rPr>
        <w:t>er</w:t>
      </w:r>
      <w:r w:rsidRPr="004E1571">
        <w:rPr>
          <w:color w:val="FF0000"/>
          <w:lang w:val="de-CH"/>
        </w:rPr>
        <w:t>club einzutreten</w:t>
      </w:r>
    </w:p>
    <w:p w:rsidR="006774A5" w:rsidRPr="004E1571" w:rsidRDefault="006774A5">
      <w:pPr>
        <w:ind w:right="-1"/>
        <w:rPr>
          <w:lang w:val="de-CH"/>
        </w:rPr>
      </w:pPr>
    </w:p>
    <w:p w:rsidR="006774A5" w:rsidRPr="004E1571" w:rsidRDefault="00D10E83" w:rsidP="004E1571">
      <w:pPr>
        <w:shd w:val="clear" w:color="auto" w:fill="DAEEF3" w:themeFill="accent5" w:themeFillTint="33"/>
        <w:ind w:left="567" w:right="-1"/>
        <w:rPr>
          <w:b/>
          <w:color w:val="1F497D" w:themeColor="text2"/>
          <w:lang w:val="de-CH"/>
        </w:rPr>
      </w:pPr>
      <w:r w:rsidRPr="004E1571">
        <w:rPr>
          <w:b/>
          <w:color w:val="1F497D" w:themeColor="text2"/>
          <w:lang w:val="de-CH"/>
        </w:rPr>
        <w:t>Ziele</w:t>
      </w:r>
    </w:p>
    <w:p w:rsidR="006774A5" w:rsidRPr="004E1571" w:rsidRDefault="00D10E83" w:rsidP="004E1571">
      <w:pPr>
        <w:numPr>
          <w:ilvl w:val="0"/>
          <w:numId w:val="1"/>
        </w:numPr>
        <w:shd w:val="clear" w:color="auto" w:fill="DAEEF3" w:themeFill="accent5" w:themeFillTint="33"/>
        <w:ind w:right="-1"/>
        <w:rPr>
          <w:color w:val="1F497D" w:themeColor="text2"/>
          <w:lang w:val="de-CH"/>
        </w:rPr>
      </w:pPr>
      <w:r w:rsidRPr="004E1571">
        <w:rPr>
          <w:color w:val="1F497D" w:themeColor="text2"/>
          <w:lang w:val="de-CH"/>
        </w:rPr>
        <w:t>loslösen von den sturen Wettkampfformen</w:t>
      </w:r>
    </w:p>
    <w:p w:rsidR="006774A5" w:rsidRPr="004E1571" w:rsidRDefault="00D10E83" w:rsidP="004E1571">
      <w:pPr>
        <w:numPr>
          <w:ilvl w:val="0"/>
          <w:numId w:val="1"/>
        </w:numPr>
        <w:shd w:val="clear" w:color="auto" w:fill="DAEEF3" w:themeFill="accent5" w:themeFillTint="33"/>
        <w:ind w:right="-1"/>
        <w:rPr>
          <w:color w:val="1F497D" w:themeColor="text2"/>
          <w:lang w:val="de-CH"/>
        </w:rPr>
      </w:pPr>
      <w:r w:rsidRPr="004E1571">
        <w:rPr>
          <w:color w:val="1F497D" w:themeColor="text2"/>
          <w:lang w:val="de-CH"/>
        </w:rPr>
        <w:t>kämpfen als natürliche Ausdrucksweise des Menschen in spielerischer Form</w:t>
      </w:r>
    </w:p>
    <w:p w:rsidR="006774A5" w:rsidRPr="004E1571" w:rsidRDefault="00D10E83" w:rsidP="004E1571">
      <w:pPr>
        <w:numPr>
          <w:ilvl w:val="0"/>
          <w:numId w:val="1"/>
        </w:numPr>
        <w:shd w:val="clear" w:color="auto" w:fill="DAEEF3" w:themeFill="accent5" w:themeFillTint="33"/>
        <w:ind w:right="-1"/>
        <w:rPr>
          <w:color w:val="1F497D" w:themeColor="text2"/>
          <w:lang w:val="de-CH"/>
        </w:rPr>
      </w:pPr>
      <w:r w:rsidRPr="004E1571">
        <w:rPr>
          <w:color w:val="1F497D" w:themeColor="text2"/>
          <w:lang w:val="de-CH"/>
        </w:rPr>
        <w:t>auch: Motivation, um in einen Ring</w:t>
      </w:r>
      <w:r w:rsidR="002F2088" w:rsidRPr="004E1571">
        <w:rPr>
          <w:color w:val="1F497D" w:themeColor="text2"/>
          <w:lang w:val="de-CH"/>
        </w:rPr>
        <w:t>er</w:t>
      </w:r>
      <w:r w:rsidRPr="004E1571">
        <w:rPr>
          <w:color w:val="1F497D" w:themeColor="text2"/>
          <w:lang w:val="de-CH"/>
        </w:rPr>
        <w:t>club einzutreten</w:t>
      </w:r>
    </w:p>
    <w:p w:rsidR="006774A5" w:rsidRPr="004E1571" w:rsidRDefault="006774A5">
      <w:pPr>
        <w:ind w:right="-1"/>
        <w:rPr>
          <w:lang w:val="de-CH"/>
        </w:rPr>
      </w:pPr>
    </w:p>
    <w:p w:rsidR="006774A5" w:rsidRPr="004E1571" w:rsidRDefault="006774A5">
      <w:pPr>
        <w:tabs>
          <w:tab w:val="left" w:pos="1560"/>
          <w:tab w:val="left" w:pos="5104"/>
        </w:tabs>
        <w:rPr>
          <w:u w:val="single"/>
          <w:lang w:val="de-CH"/>
        </w:rPr>
      </w:pPr>
    </w:p>
    <w:p w:rsidR="006774A5" w:rsidRPr="004E1571" w:rsidRDefault="004E1571">
      <w:pPr>
        <w:rPr>
          <w:color w:val="FF0000"/>
          <w:lang w:val="de-CH"/>
        </w:rPr>
      </w:pPr>
      <w:r>
        <w:rPr>
          <w:b/>
          <w:color w:val="FF0000"/>
          <w:lang w:val="de-CH"/>
        </w:rPr>
        <w:t>So 20. März</w:t>
      </w:r>
      <w:r w:rsidR="00D10E83" w:rsidRPr="004E1571">
        <w:rPr>
          <w:color w:val="FF0000"/>
          <w:lang w:val="de-CH"/>
        </w:rPr>
        <w:tab/>
        <w:t>Nach anstrengendem Anmarsch konnte sich unsere Gruppe endlich d</w:t>
      </w:r>
      <w:r w:rsidR="002F2088" w:rsidRPr="004E1571">
        <w:rPr>
          <w:color w:val="FF0000"/>
          <w:lang w:val="de-CH"/>
        </w:rPr>
        <w:t>er schweren Last entledigen.</w:t>
      </w:r>
    </w:p>
    <w:p w:rsidR="006774A5" w:rsidRPr="004E1571" w:rsidRDefault="006774A5">
      <w:pPr>
        <w:rPr>
          <w:color w:val="FF0000"/>
          <w:lang w:val="de-CH"/>
        </w:rPr>
      </w:pPr>
    </w:p>
    <w:p w:rsidR="006774A5" w:rsidRPr="004E1571" w:rsidRDefault="004E1571">
      <w:pPr>
        <w:rPr>
          <w:color w:val="FF0000"/>
          <w:lang w:val="de-CH"/>
        </w:rPr>
      </w:pPr>
      <w:r>
        <w:rPr>
          <w:b/>
          <w:color w:val="FF0000"/>
          <w:lang w:val="de-CH"/>
        </w:rPr>
        <w:t>Mo 21. März</w:t>
      </w:r>
      <w:r w:rsidR="00D10E83" w:rsidRPr="004E1571">
        <w:rPr>
          <w:color w:val="FF0000"/>
          <w:lang w:val="de-CH"/>
        </w:rPr>
        <w:tab/>
        <w:t xml:space="preserve">Die Tourenwoche hatte doch so seine </w:t>
      </w:r>
      <w:r w:rsidR="002F2088" w:rsidRPr="004E1571">
        <w:rPr>
          <w:color w:val="FF0000"/>
          <w:lang w:val="de-CH"/>
        </w:rPr>
        <w:t>Souvenirs</w:t>
      </w:r>
      <w:r w:rsidR="00D10E83" w:rsidRPr="004E1571">
        <w:rPr>
          <w:color w:val="FF0000"/>
          <w:lang w:val="de-CH"/>
        </w:rPr>
        <w:t xml:space="preserve"> hinterlassen. Die grossen m</w:t>
      </w:r>
      <w:r w:rsidR="002F2088" w:rsidRPr="004E1571">
        <w:rPr>
          <w:color w:val="FF0000"/>
          <w:lang w:val="de-CH"/>
        </w:rPr>
        <w:t>it Blut gefüllten Blasen sind …</w:t>
      </w:r>
    </w:p>
    <w:p w:rsidR="006774A5" w:rsidRPr="004E1571" w:rsidRDefault="006774A5">
      <w:pPr>
        <w:tabs>
          <w:tab w:val="left" w:pos="1560"/>
          <w:tab w:val="left" w:pos="5104"/>
        </w:tabs>
        <w:rPr>
          <w:lang w:val="de-CH"/>
        </w:rPr>
      </w:pPr>
    </w:p>
    <w:p w:rsidR="006774A5" w:rsidRPr="004E1571" w:rsidRDefault="004E1571" w:rsidP="004E1571">
      <w:pPr>
        <w:shd w:val="clear" w:color="auto" w:fill="DAEEF3" w:themeFill="accent5" w:themeFillTint="33"/>
        <w:ind w:left="1985" w:right="1133" w:hanging="1985"/>
        <w:rPr>
          <w:color w:val="1F497D" w:themeColor="text2"/>
          <w:lang w:val="de-CH"/>
        </w:rPr>
      </w:pPr>
      <w:r>
        <w:rPr>
          <w:b/>
          <w:color w:val="1F497D" w:themeColor="text2"/>
          <w:lang w:val="de-CH"/>
        </w:rPr>
        <w:t>So 20. März</w:t>
      </w:r>
      <w:r w:rsidR="00D10E83" w:rsidRPr="004E1571">
        <w:rPr>
          <w:color w:val="1F497D" w:themeColor="text2"/>
          <w:lang w:val="de-CH"/>
        </w:rPr>
        <w:tab/>
        <w:t>Nach anstrengendem Anmarsch konnte sich unsere Gruppe endlich d</w:t>
      </w:r>
      <w:r w:rsidR="002F2088" w:rsidRPr="004E1571">
        <w:rPr>
          <w:color w:val="1F497D" w:themeColor="text2"/>
          <w:lang w:val="de-CH"/>
        </w:rPr>
        <w:t>er schweren Last entledigen.</w:t>
      </w:r>
    </w:p>
    <w:p w:rsidR="006774A5" w:rsidRPr="004E1571" w:rsidRDefault="006774A5" w:rsidP="004E1571">
      <w:pPr>
        <w:shd w:val="clear" w:color="auto" w:fill="DAEEF3" w:themeFill="accent5" w:themeFillTint="33"/>
        <w:ind w:left="1985" w:right="1133" w:hanging="1985"/>
        <w:rPr>
          <w:color w:val="1F497D" w:themeColor="text2"/>
          <w:lang w:val="de-CH"/>
        </w:rPr>
      </w:pPr>
    </w:p>
    <w:p w:rsidR="006774A5" w:rsidRPr="004E1571" w:rsidRDefault="004E1571" w:rsidP="004E1571">
      <w:pPr>
        <w:shd w:val="clear" w:color="auto" w:fill="DAEEF3" w:themeFill="accent5" w:themeFillTint="33"/>
        <w:ind w:left="1985" w:right="1133" w:hanging="1985"/>
        <w:rPr>
          <w:color w:val="1F497D" w:themeColor="text2"/>
          <w:lang w:val="de-CH"/>
        </w:rPr>
      </w:pPr>
      <w:r>
        <w:rPr>
          <w:b/>
          <w:color w:val="1F497D" w:themeColor="text2"/>
          <w:lang w:val="de-CH"/>
        </w:rPr>
        <w:t>Mo 21. März</w:t>
      </w:r>
      <w:r w:rsidR="00D10E83" w:rsidRPr="004E1571">
        <w:rPr>
          <w:color w:val="1F497D" w:themeColor="text2"/>
          <w:lang w:val="de-CH"/>
        </w:rPr>
        <w:tab/>
        <w:t xml:space="preserve">Die Tourenwoche hatte doch so seine </w:t>
      </w:r>
      <w:r w:rsidR="002F2088" w:rsidRPr="004E1571">
        <w:rPr>
          <w:color w:val="1F497D" w:themeColor="text2"/>
          <w:lang w:val="de-CH"/>
        </w:rPr>
        <w:t>Souvenirs</w:t>
      </w:r>
      <w:r w:rsidR="00D10E83" w:rsidRPr="004E1571">
        <w:rPr>
          <w:color w:val="1F497D" w:themeColor="text2"/>
          <w:lang w:val="de-CH"/>
        </w:rPr>
        <w:t xml:space="preserve"> hinterlassen. Die grossen m</w:t>
      </w:r>
      <w:r w:rsidR="002F2088" w:rsidRPr="004E1571">
        <w:rPr>
          <w:color w:val="1F497D" w:themeColor="text2"/>
          <w:lang w:val="de-CH"/>
        </w:rPr>
        <w:t>it Blut gefüllten Blasen sind …</w:t>
      </w:r>
    </w:p>
    <w:p w:rsidR="006774A5" w:rsidRPr="004E1571" w:rsidRDefault="006774A5">
      <w:pPr>
        <w:rPr>
          <w:lang w:val="de-CH"/>
        </w:rPr>
      </w:pPr>
    </w:p>
    <w:p w:rsidR="006774A5" w:rsidRPr="004E1571" w:rsidRDefault="006774A5">
      <w:pPr>
        <w:rPr>
          <w:lang w:val="de-CH"/>
        </w:rPr>
      </w:pPr>
    </w:p>
    <w:p w:rsidR="006774A5" w:rsidRPr="004E1571" w:rsidRDefault="00D10E83">
      <w:pPr>
        <w:rPr>
          <w:color w:val="FF0000"/>
          <w:lang w:val="de-CH"/>
        </w:rPr>
      </w:pPr>
      <w:r w:rsidRPr="004E1571">
        <w:rPr>
          <w:color w:val="FF0000"/>
          <w:lang w:val="de-CH"/>
        </w:rPr>
        <w:t>MS-DOS Version</w:t>
      </w:r>
      <w:r w:rsidRPr="004E1571">
        <w:rPr>
          <w:color w:val="FF0000"/>
          <w:lang w:val="de-CH"/>
        </w:rPr>
        <w:tab/>
        <w:t>6.0</w:t>
      </w:r>
    </w:p>
    <w:p w:rsidR="006774A5" w:rsidRPr="004E1571" w:rsidRDefault="00D10E83">
      <w:pPr>
        <w:rPr>
          <w:color w:val="FF0000"/>
          <w:lang w:val="de-CH"/>
        </w:rPr>
      </w:pPr>
      <w:r w:rsidRPr="004E1571">
        <w:rPr>
          <w:color w:val="FF0000"/>
          <w:lang w:val="de-CH"/>
        </w:rPr>
        <w:t>Windows Version</w:t>
      </w:r>
      <w:r w:rsidRPr="004E1571">
        <w:rPr>
          <w:color w:val="FF0000"/>
          <w:lang w:val="de-CH"/>
        </w:rPr>
        <w:tab/>
        <w:t>3.10</w:t>
      </w:r>
    </w:p>
    <w:p w:rsidR="006774A5" w:rsidRPr="004E1571" w:rsidRDefault="00D10E83">
      <w:pPr>
        <w:rPr>
          <w:color w:val="FF0000"/>
          <w:lang w:val="de-CH"/>
        </w:rPr>
      </w:pPr>
      <w:r w:rsidRPr="004E1571">
        <w:rPr>
          <w:color w:val="FF0000"/>
          <w:lang w:val="de-CH"/>
        </w:rPr>
        <w:t>Modus</w:t>
      </w:r>
      <w:r w:rsidRPr="004E1571">
        <w:rPr>
          <w:color w:val="FF0000"/>
          <w:lang w:val="de-CH"/>
        </w:rPr>
        <w:tab/>
        <w:t>Erweiterter Modus für 386-PC</w:t>
      </w:r>
    </w:p>
    <w:p w:rsidR="006774A5" w:rsidRPr="004E1571" w:rsidRDefault="00D10E83">
      <w:pPr>
        <w:rPr>
          <w:color w:val="FF0000"/>
          <w:lang w:val="de-CH"/>
        </w:rPr>
      </w:pPr>
      <w:r w:rsidRPr="004E1571">
        <w:rPr>
          <w:color w:val="FF0000"/>
          <w:lang w:val="de-CH"/>
        </w:rPr>
        <w:t>Prozessor</w:t>
      </w:r>
      <w:r w:rsidRPr="004E1571">
        <w:rPr>
          <w:color w:val="FF0000"/>
          <w:lang w:val="de-CH"/>
        </w:rPr>
        <w:tab/>
        <w:t>80486</w:t>
      </w:r>
    </w:p>
    <w:p w:rsidR="006774A5" w:rsidRPr="004E1571" w:rsidRDefault="00D10E83">
      <w:pPr>
        <w:rPr>
          <w:color w:val="FF0000"/>
          <w:lang w:val="de-CH"/>
        </w:rPr>
      </w:pPr>
      <w:proofErr w:type="spellStart"/>
      <w:r w:rsidRPr="004E1571">
        <w:rPr>
          <w:color w:val="FF0000"/>
          <w:lang w:val="de-CH"/>
        </w:rPr>
        <w:t>Koprocessor</w:t>
      </w:r>
      <w:proofErr w:type="spellEnd"/>
      <w:r w:rsidRPr="004E1571">
        <w:rPr>
          <w:color w:val="FF0000"/>
          <w:lang w:val="de-CH"/>
        </w:rPr>
        <w:t xml:space="preserve"> installiert</w:t>
      </w:r>
      <w:r w:rsidRPr="004E1571">
        <w:rPr>
          <w:color w:val="FF0000"/>
          <w:lang w:val="de-CH"/>
        </w:rPr>
        <w:tab/>
        <w:t>Ja</w:t>
      </w:r>
    </w:p>
    <w:p w:rsidR="006774A5" w:rsidRPr="004E1571" w:rsidRDefault="00D10E83">
      <w:pPr>
        <w:rPr>
          <w:color w:val="FF0000"/>
          <w:lang w:val="de-CH"/>
        </w:rPr>
      </w:pPr>
      <w:r w:rsidRPr="004E1571">
        <w:rPr>
          <w:color w:val="FF0000"/>
          <w:lang w:val="de-CH"/>
        </w:rPr>
        <w:t>Arbeitsspeicher</w:t>
      </w:r>
      <w:r w:rsidRPr="004E1571">
        <w:rPr>
          <w:color w:val="FF0000"/>
          <w:lang w:val="de-CH"/>
        </w:rPr>
        <w:tab/>
        <w:t>18</w:t>
      </w:r>
      <w:r w:rsidR="004E1571">
        <w:rPr>
          <w:rFonts w:ascii="Arial" w:hAnsi="Arial" w:cs="Arial"/>
          <w:color w:val="FF0000"/>
          <w:lang w:val="de-CH"/>
        </w:rPr>
        <w:t> </w:t>
      </w:r>
      <w:r w:rsidRPr="004E1571">
        <w:rPr>
          <w:color w:val="FF0000"/>
          <w:lang w:val="de-CH"/>
        </w:rPr>
        <w:t>186 KB frei</w:t>
      </w:r>
    </w:p>
    <w:p w:rsidR="006774A5" w:rsidRPr="004E1571" w:rsidRDefault="00D10E83">
      <w:pPr>
        <w:rPr>
          <w:color w:val="FF0000"/>
          <w:lang w:val="de-CH"/>
        </w:rPr>
      </w:pPr>
      <w:r w:rsidRPr="004E1571">
        <w:rPr>
          <w:color w:val="FF0000"/>
          <w:lang w:val="de-CH"/>
        </w:rPr>
        <w:t>Systemressourcen</w:t>
      </w:r>
      <w:r w:rsidRPr="004E1571">
        <w:rPr>
          <w:color w:val="FF0000"/>
          <w:lang w:val="de-CH"/>
        </w:rPr>
        <w:tab/>
        <w:t>81</w:t>
      </w:r>
      <w:r w:rsidR="004E1571" w:rsidRPr="004E1571">
        <w:rPr>
          <w:color w:val="FF0000"/>
          <w:lang w:val="de-CH"/>
        </w:rPr>
        <w:t> </w:t>
      </w:r>
      <w:r w:rsidRPr="004E1571">
        <w:rPr>
          <w:color w:val="FF0000"/>
          <w:lang w:val="de-CH"/>
        </w:rPr>
        <w:t>% frei</w:t>
      </w:r>
    </w:p>
    <w:p w:rsidR="006774A5" w:rsidRPr="004E1571" w:rsidRDefault="006774A5">
      <w:pPr>
        <w:rPr>
          <w:lang w:val="de-CH"/>
        </w:rPr>
      </w:pPr>
    </w:p>
    <w:p w:rsidR="006774A5" w:rsidRPr="004E1571" w:rsidRDefault="00D10E83" w:rsidP="004E1571">
      <w:pPr>
        <w:shd w:val="clear" w:color="auto" w:fill="DAEEF3" w:themeFill="accent5" w:themeFillTint="33"/>
        <w:ind w:left="4536" w:hanging="4536"/>
        <w:rPr>
          <w:color w:val="1F497D" w:themeColor="text2"/>
          <w:lang w:val="de-CH"/>
        </w:rPr>
      </w:pPr>
      <w:r w:rsidRPr="004E1571">
        <w:rPr>
          <w:color w:val="1F497D" w:themeColor="text2"/>
          <w:lang w:val="de-CH"/>
        </w:rPr>
        <w:t>MS-DOS Version</w:t>
      </w:r>
      <w:r w:rsidRPr="004E1571">
        <w:rPr>
          <w:color w:val="1F497D" w:themeColor="text2"/>
          <w:lang w:val="de-CH"/>
        </w:rPr>
        <w:tab/>
        <w:t>6.0</w:t>
      </w:r>
    </w:p>
    <w:p w:rsidR="006774A5" w:rsidRPr="004E1571" w:rsidRDefault="00D10E83" w:rsidP="004E1571">
      <w:pPr>
        <w:shd w:val="clear" w:color="auto" w:fill="DAEEF3" w:themeFill="accent5" w:themeFillTint="33"/>
        <w:ind w:left="4536" w:hanging="4536"/>
        <w:rPr>
          <w:color w:val="1F497D" w:themeColor="text2"/>
          <w:lang w:val="de-CH"/>
        </w:rPr>
      </w:pPr>
      <w:r w:rsidRPr="004E1571">
        <w:rPr>
          <w:color w:val="1F497D" w:themeColor="text2"/>
          <w:lang w:val="de-CH"/>
        </w:rPr>
        <w:lastRenderedPageBreak/>
        <w:t>Windows Version</w:t>
      </w:r>
      <w:r w:rsidRPr="004E1571">
        <w:rPr>
          <w:color w:val="1F497D" w:themeColor="text2"/>
          <w:lang w:val="de-CH"/>
        </w:rPr>
        <w:tab/>
        <w:t>3.10</w:t>
      </w:r>
    </w:p>
    <w:p w:rsidR="006774A5" w:rsidRPr="004E1571" w:rsidRDefault="00D10E83" w:rsidP="004E1571">
      <w:pPr>
        <w:shd w:val="clear" w:color="auto" w:fill="DAEEF3" w:themeFill="accent5" w:themeFillTint="33"/>
        <w:ind w:left="4536" w:hanging="4536"/>
        <w:rPr>
          <w:color w:val="1F497D" w:themeColor="text2"/>
          <w:lang w:val="de-CH"/>
        </w:rPr>
      </w:pPr>
      <w:r w:rsidRPr="004E1571">
        <w:rPr>
          <w:color w:val="1F497D" w:themeColor="text2"/>
          <w:lang w:val="de-CH"/>
        </w:rPr>
        <w:t>Modus</w:t>
      </w:r>
      <w:r w:rsidRPr="004E1571">
        <w:rPr>
          <w:color w:val="1F497D" w:themeColor="text2"/>
          <w:lang w:val="de-CH"/>
        </w:rPr>
        <w:tab/>
        <w:t>Erweiterter Modus für 386-PC</w:t>
      </w:r>
    </w:p>
    <w:p w:rsidR="006774A5" w:rsidRPr="004E1571" w:rsidRDefault="00D10E83" w:rsidP="004E1571">
      <w:pPr>
        <w:shd w:val="clear" w:color="auto" w:fill="DAEEF3" w:themeFill="accent5" w:themeFillTint="33"/>
        <w:ind w:left="4536" w:hanging="4536"/>
        <w:rPr>
          <w:color w:val="1F497D" w:themeColor="text2"/>
          <w:lang w:val="de-CH"/>
        </w:rPr>
      </w:pPr>
      <w:r w:rsidRPr="004E1571">
        <w:rPr>
          <w:color w:val="1F497D" w:themeColor="text2"/>
          <w:lang w:val="de-CH"/>
        </w:rPr>
        <w:t>Prozessor</w:t>
      </w:r>
      <w:r w:rsidRPr="004E1571">
        <w:rPr>
          <w:color w:val="1F497D" w:themeColor="text2"/>
          <w:lang w:val="de-CH"/>
        </w:rPr>
        <w:tab/>
        <w:t>80486</w:t>
      </w:r>
    </w:p>
    <w:p w:rsidR="006774A5" w:rsidRPr="004E1571" w:rsidRDefault="00D10E83" w:rsidP="004E1571">
      <w:pPr>
        <w:shd w:val="clear" w:color="auto" w:fill="DAEEF3" w:themeFill="accent5" w:themeFillTint="33"/>
        <w:ind w:left="4536" w:hanging="4536"/>
        <w:rPr>
          <w:color w:val="1F497D" w:themeColor="text2"/>
          <w:lang w:val="de-CH"/>
        </w:rPr>
      </w:pPr>
      <w:proofErr w:type="spellStart"/>
      <w:r w:rsidRPr="004E1571">
        <w:rPr>
          <w:color w:val="1F497D" w:themeColor="text2"/>
          <w:lang w:val="de-CH"/>
        </w:rPr>
        <w:t>Koprocessor</w:t>
      </w:r>
      <w:proofErr w:type="spellEnd"/>
      <w:r w:rsidRPr="004E1571">
        <w:rPr>
          <w:color w:val="1F497D" w:themeColor="text2"/>
          <w:lang w:val="de-CH"/>
        </w:rPr>
        <w:t xml:space="preserve"> installiert</w:t>
      </w:r>
      <w:r w:rsidRPr="004E1571">
        <w:rPr>
          <w:color w:val="1F497D" w:themeColor="text2"/>
          <w:lang w:val="de-CH"/>
        </w:rPr>
        <w:tab/>
        <w:t>Ja</w:t>
      </w:r>
    </w:p>
    <w:p w:rsidR="006774A5" w:rsidRPr="004E1571" w:rsidRDefault="00D10E83" w:rsidP="004E1571">
      <w:pPr>
        <w:shd w:val="clear" w:color="auto" w:fill="DAEEF3" w:themeFill="accent5" w:themeFillTint="33"/>
        <w:ind w:left="4536" w:hanging="4536"/>
        <w:rPr>
          <w:color w:val="1F497D" w:themeColor="text2"/>
          <w:lang w:val="de-CH"/>
        </w:rPr>
      </w:pPr>
      <w:r w:rsidRPr="004E1571">
        <w:rPr>
          <w:color w:val="1F497D" w:themeColor="text2"/>
          <w:lang w:val="de-CH"/>
        </w:rPr>
        <w:t>Arbeitsspeicher</w:t>
      </w:r>
      <w:r w:rsidRPr="004E1571">
        <w:rPr>
          <w:color w:val="1F497D" w:themeColor="text2"/>
          <w:lang w:val="de-CH"/>
        </w:rPr>
        <w:tab/>
        <w:t>18</w:t>
      </w:r>
      <w:r w:rsidR="004E1571">
        <w:rPr>
          <w:rFonts w:ascii="Arial" w:hAnsi="Arial" w:cs="Arial"/>
          <w:color w:val="1F497D" w:themeColor="text2"/>
          <w:lang w:val="de-CH"/>
        </w:rPr>
        <w:t> </w:t>
      </w:r>
      <w:r w:rsidRPr="004E1571">
        <w:rPr>
          <w:color w:val="1F497D" w:themeColor="text2"/>
          <w:lang w:val="de-CH"/>
        </w:rPr>
        <w:t>186 KB frei</w:t>
      </w:r>
    </w:p>
    <w:p w:rsidR="006774A5" w:rsidRPr="004E1571" w:rsidRDefault="00D10E83" w:rsidP="004E1571">
      <w:pPr>
        <w:shd w:val="clear" w:color="auto" w:fill="DAEEF3" w:themeFill="accent5" w:themeFillTint="33"/>
        <w:ind w:left="4536" w:hanging="4536"/>
        <w:rPr>
          <w:color w:val="1F497D" w:themeColor="text2"/>
          <w:lang w:val="de-CH"/>
        </w:rPr>
      </w:pPr>
      <w:r w:rsidRPr="004E1571">
        <w:rPr>
          <w:color w:val="1F497D" w:themeColor="text2"/>
          <w:lang w:val="de-CH"/>
        </w:rPr>
        <w:t>Systemressourcen</w:t>
      </w:r>
      <w:r w:rsidRPr="004E1571">
        <w:rPr>
          <w:color w:val="1F497D" w:themeColor="text2"/>
          <w:lang w:val="de-CH"/>
        </w:rPr>
        <w:tab/>
        <w:t>81</w:t>
      </w:r>
      <w:r w:rsidR="004E1571" w:rsidRPr="004E1571">
        <w:rPr>
          <w:color w:val="1F497D" w:themeColor="text2"/>
          <w:lang w:val="de-CH"/>
        </w:rPr>
        <w:t> </w:t>
      </w:r>
      <w:r w:rsidRPr="004E1571">
        <w:rPr>
          <w:color w:val="1F497D" w:themeColor="text2"/>
          <w:lang w:val="de-CH"/>
        </w:rPr>
        <w:t>% frei</w:t>
      </w:r>
    </w:p>
    <w:sectPr w:rsidR="006774A5" w:rsidRPr="004E1571">
      <w:pgSz w:w="11907" w:h="16840"/>
      <w:pgMar w:top="1418"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83"/>
    <w:rsid w:val="002E7577"/>
    <w:rsid w:val="002F2088"/>
    <w:rsid w:val="004E1571"/>
    <w:rsid w:val="006774A5"/>
    <w:rsid w:val="006D2D3C"/>
    <w:rsid w:val="009A2640"/>
    <w:rsid w:val="00CE67DF"/>
    <w:rsid w:val="00D10E83"/>
    <w:rsid w:val="00E53C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D605B"/>
  <w15:docId w15:val="{43C7ACA4-8980-4D66-A433-0E115BD0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4E1571"/>
    <w:pPr>
      <w:spacing w:before="80" w:after="80" w:line="240" w:lineRule="atLeast"/>
    </w:pPr>
    <w:rPr>
      <w:rFonts w:ascii="Segoe UI" w:hAnsi="Segoe UI"/>
      <w:sz w:val="24"/>
      <w:lang w:val="de-DE" w:eastAsia="de-DE"/>
    </w:rPr>
  </w:style>
  <w:style w:type="paragraph" w:styleId="berschrift1">
    <w:name w:val="heading 1"/>
    <w:basedOn w:val="Standard"/>
    <w:next w:val="Standard"/>
    <w:qFormat/>
    <w:rsid w:val="002F2088"/>
    <w:pPr>
      <w:spacing w:before="240" w:after="60"/>
      <w:outlineLvl w:val="0"/>
    </w:pPr>
    <w:rPr>
      <w:rFonts w:asciiTheme="majorHAnsi" w:hAnsiTheme="majorHAnsi"/>
      <w:b/>
      <w:sz w:val="28"/>
    </w:rPr>
  </w:style>
  <w:style w:type="paragraph" w:styleId="berschrift2">
    <w:name w:val="heading 2"/>
    <w:basedOn w:val="Standard"/>
    <w:next w:val="Standard"/>
    <w:qFormat/>
    <w:rsid w:val="002F2088"/>
    <w:pPr>
      <w:keepNext/>
      <w:spacing w:before="240" w:after="60"/>
      <w:outlineLvl w:val="1"/>
    </w:pPr>
    <w:rPr>
      <w:rFonts w:asciiTheme="majorHAnsi" w:hAnsiTheme="majorHAnsi"/>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after="240"/>
    </w:pPr>
    <w:rPr>
      <w:rFonts w:ascii="Arial" w:hAnsi="Arial"/>
      <w:sz w:val="22"/>
    </w:rPr>
  </w:style>
  <w:style w:type="paragraph" w:customStyle="1" w:styleId="heading">
    <w:name w:val="heading"/>
    <w:basedOn w:val="Standard"/>
    <w:pPr>
      <w:pBdr>
        <w:left w:val="single" w:sz="6" w:space="5" w:color="auto"/>
      </w:pBdr>
      <w:tabs>
        <w:tab w:val="left" w:pos="2070"/>
        <w:tab w:val="left" w:pos="4230"/>
      </w:tabs>
      <w:spacing w:before="240"/>
    </w:pPr>
    <w:rPr>
      <w:rFonts w:ascii="Helvetica-Narrow" w:hAnsi="Helvetica-Narrow"/>
      <w:b/>
      <w:spacing w:val="40"/>
    </w:rPr>
  </w:style>
  <w:style w:type="paragraph" w:customStyle="1" w:styleId="bulletlist">
    <w:name w:val="bullet list"/>
    <w:basedOn w:val="Standard"/>
    <w:pPr>
      <w:spacing w:after="120"/>
      <w:ind w:left="360" w:hanging="360"/>
    </w:pPr>
  </w:style>
  <w:style w:type="paragraph" w:styleId="Verzeichnis1">
    <w:name w:val="toc 1"/>
    <w:basedOn w:val="Standard"/>
    <w:next w:val="Standard"/>
    <w:semiHidden/>
    <w:pPr>
      <w:tabs>
        <w:tab w:val="right" w:leader="dot" w:pos="9638"/>
      </w:tabs>
      <w:spacing w:before="120" w:after="120"/>
    </w:pPr>
    <w:rPr>
      <w:b/>
      <w:caps/>
    </w:rPr>
  </w:style>
  <w:style w:type="paragraph" w:styleId="Verzeichnis2">
    <w:name w:val="toc 2"/>
    <w:basedOn w:val="Standard"/>
    <w:next w:val="Standard"/>
    <w:semiHidden/>
    <w:pPr>
      <w:tabs>
        <w:tab w:val="right" w:leader="dot" w:pos="9638"/>
      </w:tabs>
    </w:pPr>
    <w:rPr>
      <w:smallCaps/>
      <w:sz w:val="20"/>
    </w:rPr>
  </w:style>
  <w:style w:type="paragraph" w:styleId="Verzeichnis3">
    <w:name w:val="toc 3"/>
    <w:basedOn w:val="Standard"/>
    <w:next w:val="Standard"/>
    <w:semiHidden/>
    <w:pPr>
      <w:tabs>
        <w:tab w:val="right" w:leader="dot" w:pos="9638"/>
      </w:tabs>
      <w:ind w:left="240"/>
    </w:pPr>
    <w:rPr>
      <w:i/>
      <w:sz w:val="20"/>
    </w:rPr>
  </w:style>
  <w:style w:type="paragraph" w:styleId="Titel">
    <w:name w:val="Title"/>
    <w:basedOn w:val="Standard"/>
    <w:next w:val="Standard"/>
    <w:link w:val="TitelZchn"/>
    <w:uiPriority w:val="10"/>
    <w:qFormat/>
    <w:rsid w:val="00CE67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E67DF"/>
    <w:rPr>
      <w:rFonts w:asciiTheme="majorHAnsi" w:eastAsiaTheme="majorEastAsia" w:hAnsiTheme="majorHAnsi" w:cstheme="majorBidi"/>
      <w:color w:val="17365D" w:themeColor="text2" w:themeShade="BF"/>
      <w:spacing w:val="5"/>
      <w:kern w:val="28"/>
      <w:sz w:val="52"/>
      <w:szCs w:val="5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4934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Nummerierungs- und Aufzählungen: Übungen</vt:lpstr>
    </vt:vector>
  </TitlesOfParts>
  <Company>Cluster 06 BLD SG</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Nummerierungs- und Aufzählungen: Übungen</dc:title>
  <dc:creator>Jürg Lippuner</dc:creator>
  <cp:lastModifiedBy>Jürg Lippuner</cp:lastModifiedBy>
  <cp:revision>9</cp:revision>
  <cp:lastPrinted>1900-12-31T23:00:00Z</cp:lastPrinted>
  <dcterms:created xsi:type="dcterms:W3CDTF">2012-12-10T11:02:00Z</dcterms:created>
  <dcterms:modified xsi:type="dcterms:W3CDTF">2016-11-13T09:21:00Z</dcterms:modified>
</cp:coreProperties>
</file>